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E8001" w14:textId="77777777" w:rsidR="00176E99" w:rsidRDefault="00176E99" w:rsidP="00D1525C">
      <w:pPr>
        <w:pStyle w:val="Corpodetexto3"/>
        <w:spacing w:before="0" w:after="0" w:line="240" w:lineRule="auto"/>
        <w:jc w:val="center"/>
      </w:pPr>
      <w:r>
        <w:t>RELATÓRIO FINAL DE PESQUISA</w:t>
      </w:r>
    </w:p>
    <w:p w14:paraId="37917D5B" w14:textId="77777777" w:rsidR="00176E99" w:rsidRDefault="00176E99" w:rsidP="00D1525C">
      <w:pPr>
        <w:pStyle w:val="Corpodetexto3"/>
        <w:spacing w:before="0" w:after="0" w:line="240" w:lineRule="auto"/>
      </w:pPr>
    </w:p>
    <w:p w14:paraId="15AF8959" w14:textId="77777777" w:rsidR="009736B7" w:rsidRDefault="009736B7" w:rsidP="00D1525C">
      <w:pPr>
        <w:pStyle w:val="Corpodetexto3"/>
        <w:spacing w:before="0" w:after="0" w:line="240" w:lineRule="auto"/>
      </w:pPr>
    </w:p>
    <w:p w14:paraId="265653BA" w14:textId="77777777" w:rsidR="009736B7" w:rsidRDefault="009736B7" w:rsidP="00D1525C">
      <w:pPr>
        <w:pStyle w:val="Corpodetexto3"/>
        <w:spacing w:before="0" w:after="0" w:line="240" w:lineRule="auto"/>
      </w:pPr>
    </w:p>
    <w:p w14:paraId="449762E6" w14:textId="77777777" w:rsidR="009736B7" w:rsidRDefault="009736B7" w:rsidP="00D1525C">
      <w:pPr>
        <w:pStyle w:val="Corpodetexto3"/>
        <w:spacing w:before="0" w:after="0" w:line="240" w:lineRule="auto"/>
      </w:pPr>
    </w:p>
    <w:p w14:paraId="4FC13269" w14:textId="77777777" w:rsidR="009736B7" w:rsidRDefault="00176E99" w:rsidP="00D1525C">
      <w:pPr>
        <w:pStyle w:val="Corpodetexto3"/>
        <w:spacing w:before="0" w:after="0" w:line="240" w:lineRule="auto"/>
      </w:pPr>
      <w:r>
        <w:t>Título do Projeto:</w:t>
      </w:r>
      <w:r w:rsidR="009736B7">
        <w:t xml:space="preserve"> </w:t>
      </w:r>
    </w:p>
    <w:p w14:paraId="44F04E51" w14:textId="77777777" w:rsidR="009736B7" w:rsidRDefault="009736B7" w:rsidP="00D1525C">
      <w:pPr>
        <w:pStyle w:val="Corpodetexto3"/>
        <w:spacing w:before="0" w:after="0" w:line="240" w:lineRule="auto"/>
      </w:pPr>
    </w:p>
    <w:p w14:paraId="049AC10D" w14:textId="77777777" w:rsidR="009736B7" w:rsidRDefault="009736B7" w:rsidP="00D1525C">
      <w:pPr>
        <w:pStyle w:val="Corpodetexto3"/>
        <w:spacing w:before="0" w:after="0" w:line="240" w:lineRule="auto"/>
      </w:pPr>
    </w:p>
    <w:p w14:paraId="780C5894" w14:textId="77777777" w:rsidR="009736B7" w:rsidRDefault="009736B7" w:rsidP="00D1525C">
      <w:pPr>
        <w:pStyle w:val="Corpodetexto3"/>
        <w:spacing w:before="0" w:after="0" w:line="240" w:lineRule="auto"/>
      </w:pPr>
    </w:p>
    <w:p w14:paraId="331A51D4" w14:textId="77777777" w:rsidR="009736B7" w:rsidRDefault="009736B7" w:rsidP="00D1525C">
      <w:pPr>
        <w:pStyle w:val="Corpodetexto3"/>
        <w:spacing w:before="0" w:after="0" w:line="240" w:lineRule="auto"/>
      </w:pPr>
    </w:p>
    <w:p w14:paraId="6382E17A" w14:textId="41B7D843" w:rsidR="00176E99" w:rsidRDefault="009736B7" w:rsidP="009736B7">
      <w:pPr>
        <w:pStyle w:val="Corpodetexto3"/>
        <w:spacing w:before="0" w:after="0" w:line="240" w:lineRule="auto"/>
        <w:jc w:val="center"/>
      </w:pPr>
      <w:r>
        <w:t>“</w:t>
      </w:r>
      <w:r w:rsidRPr="009736B7">
        <w:t>A MOEDA DIGITAL DE BANCO CENTRAL COMO INSTRUMENTO PARA SE MANTER A EXCLUSIVIDADE DA UNIÃO NA EMISSÃO E NO CONTROLE DA MOEDA OFICIAL</w:t>
      </w:r>
      <w:r>
        <w:t>”</w:t>
      </w:r>
    </w:p>
    <w:p w14:paraId="3AA439FC" w14:textId="77777777" w:rsidR="009736B7" w:rsidRDefault="009736B7" w:rsidP="00D1525C">
      <w:pPr>
        <w:pStyle w:val="Corpodetexto3"/>
        <w:spacing w:before="0" w:after="0" w:line="240" w:lineRule="auto"/>
      </w:pPr>
    </w:p>
    <w:p w14:paraId="4609686D" w14:textId="77777777" w:rsidR="009736B7" w:rsidRDefault="009736B7" w:rsidP="00D1525C">
      <w:pPr>
        <w:pStyle w:val="Corpodetexto3"/>
        <w:spacing w:before="0" w:after="0" w:line="240" w:lineRule="auto"/>
      </w:pPr>
    </w:p>
    <w:p w14:paraId="526EC341" w14:textId="77777777" w:rsidR="009736B7" w:rsidRDefault="009736B7" w:rsidP="00D1525C">
      <w:pPr>
        <w:pStyle w:val="Corpodetexto3"/>
        <w:spacing w:before="0" w:after="0" w:line="240" w:lineRule="auto"/>
      </w:pPr>
    </w:p>
    <w:p w14:paraId="48662CEB" w14:textId="77777777" w:rsidR="009736B7" w:rsidRDefault="009736B7" w:rsidP="00D1525C">
      <w:pPr>
        <w:pStyle w:val="Corpodetexto3"/>
        <w:spacing w:before="0" w:after="0" w:line="240" w:lineRule="auto"/>
      </w:pPr>
    </w:p>
    <w:p w14:paraId="364D3EBE" w14:textId="77777777" w:rsidR="009736B7" w:rsidRDefault="009736B7" w:rsidP="00D1525C">
      <w:pPr>
        <w:pStyle w:val="Corpodetexto3"/>
        <w:spacing w:before="0" w:after="0" w:line="240" w:lineRule="auto"/>
      </w:pPr>
    </w:p>
    <w:p w14:paraId="2F10E1DC" w14:textId="393D20E3" w:rsidR="00176E99" w:rsidRDefault="00176E99" w:rsidP="00D1525C">
      <w:pPr>
        <w:pStyle w:val="Corpodetexto3"/>
        <w:spacing w:before="0" w:after="0" w:line="240" w:lineRule="auto"/>
      </w:pPr>
      <w:r>
        <w:t>Data de início do projeto:</w:t>
      </w:r>
      <w:r w:rsidR="009736B7">
        <w:t>....................................01/09/2022</w:t>
      </w:r>
    </w:p>
    <w:p w14:paraId="35B574E9" w14:textId="72FC7077" w:rsidR="00176E99" w:rsidRDefault="00176E99" w:rsidP="00D1525C">
      <w:pPr>
        <w:pStyle w:val="Corpodetexto3"/>
        <w:spacing w:before="0" w:after="0" w:line="240" w:lineRule="auto"/>
      </w:pPr>
      <w:r>
        <w:t>Data prevista para o término do projeto:</w:t>
      </w:r>
      <w:r w:rsidR="009736B7">
        <w:t>..........31/08/2023</w:t>
      </w:r>
    </w:p>
    <w:p w14:paraId="0D52ED22" w14:textId="456BC4E5" w:rsidR="00176E99" w:rsidRDefault="00176E99" w:rsidP="00D1525C">
      <w:pPr>
        <w:pStyle w:val="Corpodetexto3"/>
        <w:spacing w:before="0" w:after="0" w:line="240" w:lineRule="auto"/>
      </w:pPr>
      <w:r>
        <w:t>Relatório final emitido em</w:t>
      </w:r>
      <w:r w:rsidR="009736B7">
        <w:t>:..................................22/08/2023</w:t>
      </w:r>
    </w:p>
    <w:p w14:paraId="415FE6B3" w14:textId="77777777" w:rsidR="00176E99" w:rsidRDefault="00176E99" w:rsidP="00D1525C">
      <w:pPr>
        <w:pStyle w:val="Corpodetexto3"/>
        <w:spacing w:before="0" w:after="0" w:line="240" w:lineRule="auto"/>
        <w:jc w:val="center"/>
      </w:pPr>
    </w:p>
    <w:p w14:paraId="17224775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191C1299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650228CF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1EE47401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3D4305EF" w14:textId="191D4B5A" w:rsidR="00884E5E" w:rsidRDefault="009736B7" w:rsidP="00D1525C">
      <w:pPr>
        <w:pStyle w:val="Corpodetexto3"/>
        <w:spacing w:before="0" w:after="0" w:line="240" w:lineRule="auto"/>
        <w:jc w:val="center"/>
      </w:pPr>
      <w:r>
        <w:t>Nome: Yasmin Oliveira Melgaço Ramos</w:t>
      </w:r>
    </w:p>
    <w:p w14:paraId="250A11AA" w14:textId="77777777" w:rsidR="009736B7" w:rsidRDefault="009736B7" w:rsidP="00D1525C">
      <w:pPr>
        <w:pStyle w:val="Corpodetexto3"/>
        <w:spacing w:before="0" w:after="0" w:line="240" w:lineRule="auto"/>
        <w:jc w:val="center"/>
      </w:pPr>
    </w:p>
    <w:p w14:paraId="15ACA04B" w14:textId="288A5A24" w:rsidR="009736B7" w:rsidRDefault="009736B7" w:rsidP="009736B7">
      <w:pPr>
        <w:pStyle w:val="Corpodetexto3"/>
        <w:spacing w:before="0" w:after="0" w:line="240" w:lineRule="auto"/>
        <w:jc w:val="center"/>
      </w:pPr>
      <w:r>
        <w:t>Orientadora: Rubia Carneiro Neves</w:t>
      </w:r>
    </w:p>
    <w:p w14:paraId="4F4764CF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00F341E1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0F32FEB4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3261E814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4CBE1994" w14:textId="77777777" w:rsidR="00884E5E" w:rsidRDefault="00884E5E" w:rsidP="009736B7">
      <w:pPr>
        <w:pStyle w:val="Corpodetexto3"/>
        <w:spacing w:before="0" w:after="0" w:line="240" w:lineRule="auto"/>
      </w:pPr>
    </w:p>
    <w:p w14:paraId="33E82CDD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6D0DFBEA" w14:textId="77777777" w:rsidR="00884E5E" w:rsidRDefault="00884E5E" w:rsidP="00D1525C">
      <w:pPr>
        <w:pStyle w:val="Corpodetexto3"/>
        <w:spacing w:before="0" w:after="0" w:line="240" w:lineRule="auto"/>
        <w:jc w:val="center"/>
      </w:pPr>
    </w:p>
    <w:p w14:paraId="4C8633D9" w14:textId="1BEF069F" w:rsidR="00176E99" w:rsidRDefault="00B32D4B" w:rsidP="00D1525C">
      <w:pPr>
        <w:pStyle w:val="Corpodetexto3"/>
        <w:spacing w:before="0" w:after="0" w:line="240" w:lineRule="auto"/>
        <w:jc w:val="center"/>
        <w:rPr>
          <w:b w:val="0"/>
          <w:bCs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3F7C8" wp14:editId="247E4A24">
                <wp:simplePos x="0" y="0"/>
                <wp:positionH relativeFrom="column">
                  <wp:posOffset>5486400</wp:posOffset>
                </wp:positionH>
                <wp:positionV relativeFrom="paragraph">
                  <wp:posOffset>-395605</wp:posOffset>
                </wp:positionV>
                <wp:extent cx="228600" cy="114300"/>
                <wp:effectExtent l="0" t="0" r="0" b="0"/>
                <wp:wrapNone/>
                <wp:docPr id="257943348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5A54" id="Retângulo 1" o:spid="_x0000_s1026" style="position:absolute;margin-left:6in;margin-top:-31.1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" stroked="f"/>
            </w:pict>
          </mc:Fallback>
        </mc:AlternateContent>
      </w:r>
      <w:r w:rsidR="009736B7">
        <w:t>Agosto de 2023</w:t>
      </w:r>
    </w:p>
    <w:p w14:paraId="537FDEC7" w14:textId="77777777" w:rsidR="00176E99" w:rsidRDefault="00176E99" w:rsidP="00884E5E">
      <w:pPr>
        <w:numPr>
          <w:ilvl w:val="0"/>
          <w:numId w:val="1"/>
        </w:numPr>
        <w:spacing w:before="0" w:after="0" w:line="24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Introdução</w:t>
      </w:r>
    </w:p>
    <w:p w14:paraId="06DE9E21" w14:textId="77777777" w:rsidR="009736B7" w:rsidRDefault="009736B7" w:rsidP="009736B7">
      <w:pPr>
        <w:spacing w:before="0" w:after="0" w:line="240" w:lineRule="auto"/>
        <w:rPr>
          <w:b/>
          <w:bCs/>
          <w:u w:val="single"/>
        </w:rPr>
      </w:pPr>
    </w:p>
    <w:p w14:paraId="50755727" w14:textId="3E1709B1" w:rsidR="005122DB" w:rsidRDefault="001B04C7" w:rsidP="00422835">
      <w:pPr>
        <w:spacing w:before="0" w:after="0" w:line="240" w:lineRule="auto"/>
        <w:ind w:firstLine="708"/>
      </w:pPr>
      <w:r>
        <w:t>Realizou</w:t>
      </w:r>
      <w:r w:rsidR="00422835">
        <w:t>-se</w:t>
      </w:r>
      <w:r w:rsidR="00422835" w:rsidRPr="00422835">
        <w:t xml:space="preserve"> </w:t>
      </w:r>
      <w:r>
        <w:t>pesquisa sobre a</w:t>
      </w:r>
      <w:r w:rsidR="00422835" w:rsidRPr="00422835">
        <w:t>a Central Bank Digital Currency (“CBDC”), a moeda digital emitida por banco central, objeto de estudo pelos bancos centrais de diversos países. As CBDCs têm sido apresentadas como possível alternativa para viabilizar a tokenização das moedas oficiais, como resposta ao crescente uso no mercado de objetos digitais como meios de pagamento e de poupança.</w:t>
      </w:r>
    </w:p>
    <w:p w14:paraId="7804335A" w14:textId="2E18E311" w:rsidR="00422835" w:rsidRPr="00422835" w:rsidRDefault="00660A19" w:rsidP="00422835">
      <w:pPr>
        <w:spacing w:before="0" w:after="0" w:line="240" w:lineRule="auto"/>
      </w:pPr>
      <w:r>
        <w:tab/>
        <w:t xml:space="preserve"> </w:t>
      </w:r>
      <w:r w:rsidR="00422835" w:rsidRPr="00422835">
        <w:t xml:space="preserve">O aumento significativo da celebração de negócios envolvendo moedas digitais privadas tem preocupado os bancos centrais. As criptomoedas, tendo como principal modelo o </w:t>
      </w:r>
      <w:r w:rsidR="00422835" w:rsidRPr="00422835">
        <w:rPr>
          <w:i/>
          <w:iCs/>
        </w:rPr>
        <w:t xml:space="preserve">Bitcoin, </w:t>
      </w:r>
      <w:r w:rsidR="00422835" w:rsidRPr="00422835">
        <w:t xml:space="preserve">tiveram como ponto catalisador a crise financeira de 2008. </w:t>
      </w:r>
    </w:p>
    <w:p w14:paraId="54330BC4" w14:textId="215254D3" w:rsidR="00422835" w:rsidRPr="00422835" w:rsidRDefault="00422835" w:rsidP="00422835">
      <w:pPr>
        <w:spacing w:before="0" w:after="0" w:line="240" w:lineRule="auto"/>
        <w:ind w:firstLine="708"/>
      </w:pPr>
      <w:r w:rsidRPr="00422835">
        <w:t>Em 2021, registrou-se 8.900 criptomoedas diferentes, com movimentação de mais de 2 trilhões de dólares. Em junho de 2023, o número de variedades subiu para 10.008, porém com significativa queda nos valores envolvidos em suas negociações, alcançando uma capitalização total de 1.09 trilhões de dólares (COINGECKO, 2023).</w:t>
      </w:r>
    </w:p>
    <w:p w14:paraId="455732A6" w14:textId="234A3DE6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Além da relevância dos números do mercado cripto, um dos pontos de atenção para a necessidade de emissão de CBDCs foi o anúncio da </w:t>
      </w:r>
      <w:r w:rsidRPr="00422835">
        <w:rPr>
          <w:i/>
          <w:iCs/>
        </w:rPr>
        <w:t>Libra</w:t>
      </w:r>
      <w:r w:rsidRPr="00422835">
        <w:t xml:space="preserve"> – que posteriormente mudou seu nome para “</w:t>
      </w:r>
      <w:r w:rsidRPr="00422835">
        <w:rPr>
          <w:i/>
          <w:iCs/>
        </w:rPr>
        <w:t>Diem</w:t>
      </w:r>
      <w:r w:rsidRPr="00422835">
        <w:t xml:space="preserve">” – o projeto de </w:t>
      </w:r>
      <w:r w:rsidRPr="00422835">
        <w:rPr>
          <w:i/>
          <w:iCs/>
        </w:rPr>
        <w:t>stablecoin</w:t>
      </w:r>
      <w:r w:rsidRPr="00422835">
        <w:t xml:space="preserve"> lançado em 2019 pelo Facebook (Meta). Uma dessas preocupações diz respeito à promessa dos emissores de </w:t>
      </w:r>
      <w:r w:rsidRPr="00422835">
        <w:rPr>
          <w:i/>
          <w:iCs/>
        </w:rPr>
        <w:t>stablecoins</w:t>
      </w:r>
      <w:r w:rsidRPr="00422835">
        <w:t xml:space="preserve"> sobre possuírem um lastro de 100% em moedas fiduciárias: se assim fosse, provavelmente não obteriam lucro suficiente para a sua manutenção no mercado (ARNER; AUER; FROST, 2020, p. 2). </w:t>
      </w:r>
    </w:p>
    <w:p w14:paraId="3D3ED8FB" w14:textId="72356E54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Em razão disso, o Banco Central do Brasil (“BCB”), buscando cumprir sua missão de assegurar a estabilidade monetária e financeira, tem incorporado inovações no Sistema Financeiro Nacional (“SFN”), realizando desde 2020 estudos sobre a eventual emissão da moeda digital brasileira. </w:t>
      </w:r>
    </w:p>
    <w:p w14:paraId="5BBF49F1" w14:textId="16CABC42" w:rsidR="00DC56CF" w:rsidRDefault="00422835" w:rsidP="00DC56CF">
      <w:pPr>
        <w:spacing w:before="0" w:after="0" w:line="240" w:lineRule="auto"/>
        <w:ind w:firstLine="708"/>
      </w:pPr>
      <w:r w:rsidRPr="00422835">
        <w:t xml:space="preserve">Recentemente, ao atualizar tais diretrizes gerais para o Real Digital, o BCB apontou como justificativas para sua adoção a necessidade de liquidação digital de negócios envolvendo objetos tokenizados e a importância de reafirmar seu papel de garantidor da estabilidade monetária e financeira do SFN. </w:t>
      </w:r>
    </w:p>
    <w:p w14:paraId="2F16E462" w14:textId="0D499AAB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A pesquisa, cujos resultados são apresentados neste trabalho, foi realizada com vinculação a essa última justificativa, visando responder </w:t>
      </w:r>
      <w:r w:rsidRPr="00422835">
        <w:rPr>
          <w:b/>
          <w:bCs/>
        </w:rPr>
        <w:t>se o Real Digital pode contribuir para que o Estado brasileiro mantenha o seu poder de emissão e regulação sobre a moeda oficial</w:t>
      </w:r>
      <w:r w:rsidRPr="00422835">
        <w:t xml:space="preserve">. </w:t>
      </w:r>
    </w:p>
    <w:p w14:paraId="1C445D38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>Verificou-se, então, a hipótese de que o Real Digital contribuiria para a manutenção do controle Estatal sobre a condução da política monetária, visto que mantém as características de moeda oficial ao mesmo tempo em que se utiliza da tecnologia DLT. Nesse sentido, o Real Digital se constituiria como objeto oferecido pelo Estado de modo descentralizado para efetuar pagamentos e precificar bens e direitos, mantendo, com isso, o interesse da população pela moeda oficial.</w:t>
      </w:r>
    </w:p>
    <w:p w14:paraId="05B8EA1D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Para realizar tal verificação, antes foi necessário responder duas perguntas preliminares: </w:t>
      </w:r>
      <w:r w:rsidRPr="00422835">
        <w:rPr>
          <w:b/>
          <w:bCs/>
        </w:rPr>
        <w:t xml:space="preserve">o que é moeda e quem deve ser seu emissor e regulador?  </w:t>
      </w:r>
    </w:p>
    <w:p w14:paraId="21FA19ED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Tomou-se como hipótese para a primeira pergunta preliminar que a moeda, além de ser o que a lei determina como tal, deve ser objeto de alta aceitabilidade entre os agentes econômicos. Nesse sentido, ao dispor na Constituição Federal/1988 que a emissão de moeda é atividade privativa da União exercida pelo BCB e estipular, por meio da Lei n. 8.880/1994, o Real como a moeda brasileira e como padrão de valor monetário do país, o Estado determinou que a moeda no Brasil seria o Real emitido pelo BCB. Contudo, para atuar como moeda, o Real deve, ainda, possuir aceitabilidade, preenchendo as funções básicas de ser meio de troca, unidade de conta e reserva de valor. </w:t>
      </w:r>
    </w:p>
    <w:p w14:paraId="12C16634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lastRenderedPageBreak/>
        <w:t>Como hipótese para a segunda pergunta preliminar, adotou-se a concepção de que o Estado deve ser o emissor e regulador da moeda, garantindo a sua soberania monetária ao ter aptidão exclusiva para fixar seu valor e controlar sua circulação no território nacional, visando à estabilidade. Tal entendimento corrobora a tese de que a emissão de moedas por agentes privados e sem a regulação do Estado – como as criptomoedas – constituem riscos de esvaziamento desse poder estatal e, se não desincentivadas, devem ser ao menos controladas.</w:t>
      </w:r>
    </w:p>
    <w:p w14:paraId="114EE60C" w14:textId="6D409EDA" w:rsidR="00660A19" w:rsidRDefault="00660A19" w:rsidP="00660A19">
      <w:pPr>
        <w:spacing w:before="0" w:after="0" w:line="240" w:lineRule="auto"/>
        <w:rPr>
          <w:b/>
          <w:bCs/>
          <w:u w:val="single"/>
        </w:rPr>
      </w:pPr>
    </w:p>
    <w:p w14:paraId="6B92550D" w14:textId="77777777" w:rsidR="00884E5E" w:rsidRDefault="00884E5E" w:rsidP="00884E5E">
      <w:pPr>
        <w:spacing w:before="0" w:after="0" w:line="240" w:lineRule="auto"/>
        <w:rPr>
          <w:b/>
          <w:bCs/>
          <w:u w:val="single"/>
        </w:rPr>
      </w:pPr>
    </w:p>
    <w:p w14:paraId="67D5CEFA" w14:textId="77777777" w:rsidR="00176E99" w:rsidRDefault="00176E99" w:rsidP="00884E5E">
      <w:pPr>
        <w:numPr>
          <w:ilvl w:val="0"/>
          <w:numId w:val="1"/>
        </w:numPr>
        <w:spacing w:before="0" w:after="0" w:line="24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Equipe participante</w:t>
      </w:r>
    </w:p>
    <w:p w14:paraId="10724562" w14:textId="77777777" w:rsidR="00884E5E" w:rsidRDefault="00884E5E" w:rsidP="00884E5E">
      <w:pPr>
        <w:spacing w:before="0" w:after="0" w:line="240" w:lineRule="auto"/>
        <w:rPr>
          <w:b/>
          <w:bCs/>
          <w:u w:val="single"/>
        </w:rPr>
      </w:pPr>
    </w:p>
    <w:p w14:paraId="778B0A9B" w14:textId="3E2E3E84" w:rsidR="00422835" w:rsidRDefault="00422835" w:rsidP="00884E5E">
      <w:pPr>
        <w:spacing w:before="0" w:after="0" w:line="240" w:lineRule="auto"/>
      </w:pPr>
      <w:r>
        <w:t>Aluna da graduação em Direito: Yasmin Oliveira Melgaço Ramos</w:t>
      </w:r>
    </w:p>
    <w:p w14:paraId="0FCC2803" w14:textId="57AEF502" w:rsidR="00422835" w:rsidRDefault="00DC56CF" w:rsidP="00884E5E">
      <w:pPr>
        <w:spacing w:before="0" w:after="0" w:line="240" w:lineRule="auto"/>
        <w:rPr>
          <w:b/>
          <w:bCs/>
          <w:u w:val="single"/>
        </w:rPr>
      </w:pPr>
      <w:r>
        <w:t xml:space="preserve">Professora </w:t>
      </w:r>
      <w:r w:rsidR="001B04C7">
        <w:t>orientadora da p</w:t>
      </w:r>
      <w:r>
        <w:t>esquisa</w:t>
      </w:r>
      <w:r w:rsidR="00422835">
        <w:t>: Rubia Carneiro Neves</w:t>
      </w:r>
    </w:p>
    <w:p w14:paraId="1C7AD5A4" w14:textId="77777777" w:rsidR="00422835" w:rsidRDefault="00422835" w:rsidP="00884E5E">
      <w:pPr>
        <w:spacing w:before="0" w:after="0" w:line="240" w:lineRule="auto"/>
        <w:rPr>
          <w:b/>
          <w:bCs/>
          <w:u w:val="single"/>
        </w:rPr>
      </w:pPr>
    </w:p>
    <w:p w14:paraId="0ADC7E0C" w14:textId="77777777" w:rsidR="00176E99" w:rsidRDefault="00176E99" w:rsidP="00884E5E">
      <w:pPr>
        <w:numPr>
          <w:ilvl w:val="0"/>
          <w:numId w:val="1"/>
        </w:numPr>
        <w:spacing w:before="0" w:after="0" w:line="24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Objetivos</w:t>
      </w:r>
    </w:p>
    <w:p w14:paraId="7E1A452D" w14:textId="77777777" w:rsidR="00DC56CF" w:rsidRDefault="00DC56CF" w:rsidP="00884E5E">
      <w:pPr>
        <w:pStyle w:val="PargrafodaLista"/>
        <w:spacing w:before="0" w:after="0" w:line="240" w:lineRule="auto"/>
        <w:ind w:left="0"/>
      </w:pPr>
    </w:p>
    <w:p w14:paraId="4BCFDBC0" w14:textId="77777777" w:rsidR="00DC56CF" w:rsidRDefault="00DC56CF" w:rsidP="00DC56CF">
      <w:pPr>
        <w:spacing w:before="0" w:after="0" w:line="240" w:lineRule="auto"/>
        <w:ind w:firstLine="708"/>
      </w:pPr>
      <w:r>
        <w:t xml:space="preserve">A principal questão de pesquisa investigada foi </w:t>
      </w:r>
      <w:r w:rsidRPr="00422835">
        <w:rPr>
          <w:b/>
          <w:bCs/>
        </w:rPr>
        <w:t>se o Real Digital pode contribuir para que o Estado brasileiro mantenha o seu poder de emissão e regulação sobre a moeda oficial</w:t>
      </w:r>
      <w:r w:rsidRPr="00422835">
        <w:t xml:space="preserve">. </w:t>
      </w:r>
    </w:p>
    <w:p w14:paraId="7B0E2360" w14:textId="07781FA2" w:rsidR="00DC56CF" w:rsidRDefault="00DC56CF" w:rsidP="00DC56CF">
      <w:pPr>
        <w:spacing w:before="0" w:after="0" w:line="240" w:lineRule="auto"/>
        <w:ind w:firstLine="708"/>
      </w:pPr>
      <w:r>
        <w:t xml:space="preserve">A formulação inicial era </w:t>
      </w:r>
      <w:r w:rsidRPr="00DC56CF">
        <w:rPr>
          <w:b/>
          <w:bCs/>
        </w:rPr>
        <w:t>“Análise quanto à possibilidade de a Central Bank Digital Currency (CBDC) contribuir para manter em favor da União a exclusividade de emissão e controle da moeda soberana brasileira”.</w:t>
      </w:r>
      <w:r>
        <w:t xml:space="preserve"> Percebe-se, portanto, que apesar da pergunta principal ter passado por diversas reformulações na sua forma de exposição, com o objetivo de deixá-la cada vez mais clara e direta, o sentido e o objetivo principal da pergunta se mantiveram. </w:t>
      </w:r>
    </w:p>
    <w:p w14:paraId="22982886" w14:textId="4024AA49" w:rsidR="00DC56CF" w:rsidRPr="00422835" w:rsidRDefault="00DC56CF" w:rsidP="00DC56CF">
      <w:pPr>
        <w:spacing w:before="0" w:after="0" w:line="240" w:lineRule="auto"/>
        <w:ind w:firstLine="708"/>
      </w:pPr>
      <w:r>
        <w:t xml:space="preserve">As questões preliminares que tiveram de ser respondidas foram </w:t>
      </w:r>
      <w:r>
        <w:rPr>
          <w:b/>
          <w:bCs/>
        </w:rPr>
        <w:t xml:space="preserve">(i) </w:t>
      </w:r>
      <w:r w:rsidRPr="00422835">
        <w:rPr>
          <w:b/>
          <w:bCs/>
        </w:rPr>
        <w:t>o que é moeda</w:t>
      </w:r>
      <w:r w:rsidRPr="00422835">
        <w:t xml:space="preserve"> e</w:t>
      </w:r>
      <w:r w:rsidRPr="00422835">
        <w:rPr>
          <w:b/>
          <w:bCs/>
        </w:rP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ii</w:t>
      </w:r>
      <w:proofErr w:type="spellEnd"/>
      <w:r>
        <w:rPr>
          <w:b/>
          <w:bCs/>
        </w:rPr>
        <w:t xml:space="preserve">) </w:t>
      </w:r>
      <w:r w:rsidRPr="00422835">
        <w:rPr>
          <w:b/>
          <w:bCs/>
        </w:rPr>
        <w:t>quem deve ser seu emissor e regulador</w:t>
      </w:r>
      <w:r>
        <w:rPr>
          <w:b/>
          <w:bCs/>
        </w:rPr>
        <w:t>.</w:t>
      </w:r>
    </w:p>
    <w:p w14:paraId="25294E9F" w14:textId="01A90AB3" w:rsidR="00DC56CF" w:rsidRDefault="00DC56CF" w:rsidP="00DC56CF">
      <w:pPr>
        <w:pStyle w:val="PargrafodaLista"/>
        <w:spacing w:before="0" w:after="0" w:line="240" w:lineRule="auto"/>
        <w:ind w:left="708"/>
      </w:pPr>
    </w:p>
    <w:p w14:paraId="44B09912" w14:textId="77777777" w:rsidR="00DC56CF" w:rsidRDefault="00DC56CF" w:rsidP="00884E5E">
      <w:pPr>
        <w:pStyle w:val="PargrafodaLista"/>
        <w:spacing w:before="0" w:after="0" w:line="240" w:lineRule="auto"/>
        <w:ind w:left="0"/>
      </w:pPr>
    </w:p>
    <w:p w14:paraId="1A4CCAF6" w14:textId="4FE8BEFD" w:rsidR="00176E99" w:rsidRPr="00071C3F" w:rsidRDefault="00176E99" w:rsidP="00884E5E">
      <w:pPr>
        <w:pStyle w:val="PargrafodaLista"/>
        <w:spacing w:before="0" w:after="0" w:line="240" w:lineRule="auto"/>
        <w:ind w:left="0"/>
      </w:pPr>
      <w:r w:rsidRPr="00DC56CF">
        <w:rPr>
          <w:color w:val="FF0000"/>
        </w:rPr>
        <w:t>O(a) bolsista teve acesso ao plano de atividades a ser cumprido por ele(a)?</w:t>
      </w:r>
      <w:r w:rsidR="00071C3F">
        <w:rPr>
          <w:color w:val="FF0000"/>
        </w:rPr>
        <w:t xml:space="preserve"> </w:t>
      </w:r>
      <w:r w:rsidR="00071C3F">
        <w:t>Sim, o plano de atividades foi compartilhado pela orientadora à aluna.</w:t>
      </w:r>
    </w:p>
    <w:p w14:paraId="41E75A0A" w14:textId="77777777" w:rsidR="005B6ED7" w:rsidRDefault="005B6ED7" w:rsidP="00884E5E">
      <w:pPr>
        <w:pStyle w:val="PargrafodaLista"/>
        <w:spacing w:before="0" w:after="0" w:line="240" w:lineRule="auto"/>
        <w:ind w:left="0"/>
        <w:rPr>
          <w:color w:val="FF0000"/>
        </w:rPr>
      </w:pPr>
    </w:p>
    <w:p w14:paraId="0F13031B" w14:textId="1312367E" w:rsidR="00176E99" w:rsidRPr="00071C3F" w:rsidRDefault="00176E99" w:rsidP="00884E5E">
      <w:pPr>
        <w:pStyle w:val="PargrafodaLista"/>
        <w:spacing w:before="0" w:after="0" w:line="240" w:lineRule="auto"/>
        <w:ind w:left="0"/>
      </w:pPr>
      <w:r w:rsidRPr="00DC56CF">
        <w:rPr>
          <w:color w:val="FF0000"/>
        </w:rPr>
        <w:t>De forma geral, como você avalia o alcance dos objetivos do projeto?</w:t>
      </w:r>
      <w:r w:rsidR="00071C3F">
        <w:rPr>
          <w:color w:val="FF0000"/>
        </w:rPr>
        <w:t xml:space="preserve"> </w:t>
      </w:r>
      <w:r w:rsidR="00071C3F">
        <w:t>Os objetivos foram alcançados de forma exitosa, cumprindo com as metas definidas.</w:t>
      </w:r>
    </w:p>
    <w:p w14:paraId="44663E53" w14:textId="77777777" w:rsidR="005B6ED7" w:rsidRDefault="005B6ED7" w:rsidP="00884E5E">
      <w:pPr>
        <w:pStyle w:val="PargrafodaLista"/>
        <w:spacing w:before="0" w:after="0" w:line="240" w:lineRule="auto"/>
        <w:ind w:left="0"/>
        <w:rPr>
          <w:color w:val="FF0000"/>
        </w:rPr>
      </w:pPr>
    </w:p>
    <w:p w14:paraId="676ADE13" w14:textId="3217F4DA" w:rsidR="00176E99" w:rsidRPr="00DC56CF" w:rsidRDefault="00176E99" w:rsidP="00884E5E">
      <w:pPr>
        <w:pStyle w:val="PargrafodaLista"/>
        <w:spacing w:before="0" w:after="0" w:line="240" w:lineRule="auto"/>
        <w:ind w:left="0"/>
        <w:rPr>
          <w:color w:val="FF0000"/>
        </w:rPr>
      </w:pPr>
      <w:r w:rsidRPr="00DC56CF">
        <w:rPr>
          <w:color w:val="FF0000"/>
        </w:rPr>
        <w:t>Foi feito planejamento e avaliação do processo de trabalho no projeto?</w:t>
      </w:r>
      <w:r w:rsidR="00071C3F">
        <w:rPr>
          <w:color w:val="FF0000"/>
        </w:rPr>
        <w:t xml:space="preserve"> </w:t>
      </w:r>
      <w:r w:rsidR="00071C3F">
        <w:t>Sim, o planejamento de produzir um artigo no final da pesquisa foi cumprido, assim como foram realizadas avaliações recorrentes durante o processo de trabalho.</w:t>
      </w:r>
    </w:p>
    <w:p w14:paraId="26FA2CCD" w14:textId="77777777" w:rsidR="005B6ED7" w:rsidRDefault="005B6ED7" w:rsidP="00884E5E">
      <w:pPr>
        <w:pStyle w:val="PargrafodaLista"/>
        <w:spacing w:before="0" w:after="0" w:line="240" w:lineRule="auto"/>
        <w:ind w:left="0"/>
        <w:rPr>
          <w:color w:val="FF0000"/>
        </w:rPr>
      </w:pPr>
    </w:p>
    <w:p w14:paraId="09D672BF" w14:textId="7798ACA3" w:rsidR="00176E99" w:rsidRPr="00DC56CF" w:rsidRDefault="00176E99" w:rsidP="00884E5E">
      <w:pPr>
        <w:pStyle w:val="PargrafodaLista"/>
        <w:spacing w:before="0" w:after="0" w:line="240" w:lineRule="auto"/>
        <w:ind w:left="0"/>
        <w:rPr>
          <w:color w:val="FF0000"/>
        </w:rPr>
      </w:pPr>
      <w:r w:rsidRPr="00DC56CF">
        <w:rPr>
          <w:color w:val="FF0000"/>
        </w:rPr>
        <w:t>A equipe encontrou dificuldades na execução do projeto? Se sim, as dificuldades foram de que natureza?</w:t>
      </w:r>
      <w:r w:rsidR="00071C3F">
        <w:rPr>
          <w:color w:val="FF0000"/>
        </w:rPr>
        <w:t xml:space="preserve"> </w:t>
      </w:r>
      <w:r w:rsidR="00071C3F">
        <w:t>Não houve dificuldades na execução do projeto.</w:t>
      </w:r>
    </w:p>
    <w:p w14:paraId="0E067857" w14:textId="77777777" w:rsidR="005B6ED7" w:rsidRDefault="005B6ED7" w:rsidP="00884E5E">
      <w:pPr>
        <w:spacing w:before="0" w:after="0" w:line="240" w:lineRule="auto"/>
        <w:rPr>
          <w:color w:val="FF0000"/>
        </w:rPr>
      </w:pPr>
    </w:p>
    <w:p w14:paraId="02FCB5D3" w14:textId="3474B5F7" w:rsidR="00176E99" w:rsidRPr="00DC56CF" w:rsidRDefault="00176E99" w:rsidP="00884E5E">
      <w:pPr>
        <w:spacing w:before="0" w:after="0" w:line="240" w:lineRule="auto"/>
        <w:rPr>
          <w:color w:val="FF0000"/>
        </w:rPr>
      </w:pPr>
      <w:r w:rsidRPr="00DC56CF">
        <w:rPr>
          <w:color w:val="FF0000"/>
        </w:rPr>
        <w:t>Foi necessário alterar significativamente o planejamento inicial das atividades de pesquisa do projeto em função dessas dificuldades?</w:t>
      </w:r>
      <w:r w:rsidR="00071C3F">
        <w:rPr>
          <w:color w:val="FF0000"/>
        </w:rPr>
        <w:t xml:space="preserve"> </w:t>
      </w:r>
      <w:r w:rsidR="00071C3F" w:rsidRPr="00071C3F">
        <w:t>Não.</w:t>
      </w:r>
    </w:p>
    <w:p w14:paraId="33D8081D" w14:textId="77777777" w:rsidR="00176E99" w:rsidRPr="00176E99" w:rsidRDefault="00176E99" w:rsidP="00884E5E">
      <w:pPr>
        <w:pStyle w:val="PargrafodaLista"/>
        <w:spacing w:before="0" w:after="0" w:line="240" w:lineRule="auto"/>
        <w:ind w:left="0"/>
        <w:rPr>
          <w:b/>
          <w:bCs/>
          <w:u w:val="single"/>
        </w:rPr>
      </w:pPr>
    </w:p>
    <w:p w14:paraId="01BC1DAD" w14:textId="77777777" w:rsidR="00D1525C" w:rsidRDefault="00D1525C" w:rsidP="00884E5E">
      <w:pPr>
        <w:numPr>
          <w:ilvl w:val="0"/>
          <w:numId w:val="1"/>
        </w:numPr>
        <w:spacing w:before="0" w:after="0" w:line="24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Material e métodos utilizados durante a pesquisa</w:t>
      </w:r>
    </w:p>
    <w:p w14:paraId="28CB37DC" w14:textId="77777777" w:rsidR="00884E5E" w:rsidRDefault="00884E5E" w:rsidP="00884E5E">
      <w:pPr>
        <w:spacing w:before="0" w:after="0" w:line="240" w:lineRule="auto"/>
        <w:rPr>
          <w:b/>
          <w:bCs/>
          <w:u w:val="single"/>
        </w:rPr>
      </w:pPr>
    </w:p>
    <w:p w14:paraId="04FC2B34" w14:textId="77777777" w:rsidR="005122DB" w:rsidRDefault="005122DB" w:rsidP="005122DB">
      <w:pPr>
        <w:spacing w:before="0" w:after="0" w:line="240" w:lineRule="auto"/>
        <w:ind w:firstLine="708"/>
      </w:pPr>
      <w:r>
        <w:t xml:space="preserve">O projeto de pesquisa começou após a leitura de literaturas selecionadas sobre o assunto, tendo como marco inicial a leitura conjunta entre a aluna e a orientadora do livro “The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Alchemy</w:t>
      </w:r>
      <w:proofErr w:type="spellEnd"/>
      <w:r>
        <w:t>”, de Mervyn King.</w:t>
      </w:r>
    </w:p>
    <w:p w14:paraId="5912272E" w14:textId="77777777" w:rsidR="005122DB" w:rsidRDefault="005122DB" w:rsidP="005122DB">
      <w:pPr>
        <w:spacing w:before="0" w:after="0" w:line="240" w:lineRule="auto"/>
        <w:ind w:firstLine="708"/>
      </w:pPr>
      <w:r>
        <w:lastRenderedPageBreak/>
        <w:t>Após, foram realizadas reuniões para a delimitação da pergunta de pesquisa. Nesta fase, foram apresentados questionamentos tanto para outros pesquisadores e professores da área, quanto para o Banco Central do Brasil.</w:t>
      </w:r>
    </w:p>
    <w:p w14:paraId="2875FFE1" w14:textId="77777777" w:rsidR="005122DB" w:rsidRDefault="005122DB" w:rsidP="005122DB">
      <w:pPr>
        <w:spacing w:before="0" w:after="0" w:line="240" w:lineRule="auto"/>
      </w:pPr>
      <w:r>
        <w:tab/>
        <w:t>Com o objetivo de aprofundar ainda mais na matéria em questão, a aluna fez o processo seletivo para se tornar monitora da professora/orientadora Rubia, que leciona a matéria sobre os negócios e regulação do Sistema Financeiro Nacional na graduação.</w:t>
      </w:r>
    </w:p>
    <w:p w14:paraId="51E6315B" w14:textId="77777777" w:rsidR="005122DB" w:rsidRDefault="005122DB" w:rsidP="005122DB">
      <w:pPr>
        <w:spacing w:before="0" w:after="0" w:line="240" w:lineRule="auto"/>
      </w:pPr>
      <w:r>
        <w:tab/>
        <w:t>Além do acompanhamento e auxílio nas aulas da graduação, a aluna foi instigada a participar também das aulas ministradas pela professora e convidados externos na pós-graduação, visto que eram relevantes para a pesquisa. Não obstante, acompanhou também palestras e seminários sobre o assunto.</w:t>
      </w:r>
    </w:p>
    <w:p w14:paraId="0F177979" w14:textId="74BC3EEF" w:rsidR="00422835" w:rsidRDefault="005122DB" w:rsidP="00422835">
      <w:pPr>
        <w:spacing w:before="0" w:after="0" w:line="240" w:lineRule="auto"/>
      </w:pPr>
      <w:r>
        <w:tab/>
        <w:t>A partir destes conhecimentos iniciais, foram realizadas novas reuniões para melhor definição da pergunta principal, perguntas secundárias e hipóteses.</w:t>
      </w:r>
      <w:r w:rsidR="00422835">
        <w:t xml:space="preserve"> Para verificar as hipóteses delineadas, realizou-se revisão bibliográfica, análise normativa e documental. </w:t>
      </w:r>
    </w:p>
    <w:p w14:paraId="6CC50900" w14:textId="1A710B9F" w:rsidR="00422835" w:rsidRDefault="00422835" w:rsidP="00422835">
      <w:pPr>
        <w:spacing w:before="0" w:after="0" w:line="240" w:lineRule="auto"/>
        <w:ind w:firstLine="708"/>
      </w:pPr>
      <w:r>
        <w:t>Nesse sentido, as referências foram levantadas em decorrência de: (i) busca realizada em plataformas de pesquisa com adoção de palavras-chave relacionadas ao tema; (</w:t>
      </w:r>
      <w:proofErr w:type="spellStart"/>
      <w:r>
        <w:t>ii</w:t>
      </w:r>
      <w:proofErr w:type="spellEnd"/>
      <w:r>
        <w:t>) recomendação de professores da área; (</w:t>
      </w:r>
      <w:proofErr w:type="spellStart"/>
      <w:r>
        <w:t>iii</w:t>
      </w:r>
      <w:proofErr w:type="spellEnd"/>
      <w:r>
        <w:t>) localização nas referências de textos lidos; e (</w:t>
      </w:r>
      <w:proofErr w:type="spellStart"/>
      <w:r>
        <w:t>iv</w:t>
      </w:r>
      <w:proofErr w:type="spellEnd"/>
      <w:r>
        <w:t>) busca por relatórios, normativos e informativos editados pelo BCB.</w:t>
      </w:r>
    </w:p>
    <w:p w14:paraId="2A248170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Na plataforma de pesquisa “Google Acadêmico” foi realizada busca com as seguintes palavras-chave: </w:t>
      </w:r>
      <w:r w:rsidRPr="00422835">
        <w:rPr>
          <w:i/>
          <w:iCs/>
        </w:rPr>
        <w:t>“moeda digital de banco central”, “emissão”, “regulação”, “soberania monetária”</w:t>
      </w:r>
      <w:r w:rsidRPr="00422835">
        <w:t xml:space="preserve"> e</w:t>
      </w:r>
      <w:r w:rsidRPr="00422835">
        <w:rPr>
          <w:i/>
          <w:iCs/>
        </w:rPr>
        <w:t xml:space="preserve"> “direito”. </w:t>
      </w:r>
      <w:r w:rsidRPr="00422835">
        <w:t xml:space="preserve">Foram encontrados dois resultados, um Trabalho de Conclusão de Curso de Relações Internacionais, </w:t>
      </w:r>
      <w:r w:rsidRPr="00422835">
        <w:rPr>
          <w:i/>
          <w:iCs/>
        </w:rPr>
        <w:t>“A moeda digital de banco central da China sob a perspectiva de projeção de poder internacional”</w:t>
      </w:r>
      <w:r w:rsidRPr="00422835">
        <w:t xml:space="preserve">, de Thaís Araripe Pereira de Oliveira, e uma dissertação de mestrado em Economia Internacional, </w:t>
      </w:r>
      <w:r w:rsidRPr="00422835">
        <w:rPr>
          <w:i/>
          <w:iCs/>
        </w:rPr>
        <w:t>“A influência do conhecimento em criptomoedas no seu futuro”</w:t>
      </w:r>
      <w:r w:rsidRPr="00422835">
        <w:t xml:space="preserve">, de Sara Martins Ramos. </w:t>
      </w:r>
    </w:p>
    <w:p w14:paraId="55866081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Na mesma plataforma, com as palavras-chave </w:t>
      </w:r>
      <w:r w:rsidRPr="00422835">
        <w:rPr>
          <w:i/>
          <w:iCs/>
        </w:rPr>
        <w:t xml:space="preserve">“moeda digital”, “Banco Central do Brasil”, “emissão”, “regulação”, “soberania monetária” </w:t>
      </w:r>
      <w:r w:rsidRPr="00422835">
        <w:t>e</w:t>
      </w:r>
      <w:r w:rsidRPr="00422835">
        <w:rPr>
          <w:i/>
          <w:iCs/>
        </w:rPr>
        <w:t xml:space="preserve"> “direito”</w:t>
      </w:r>
      <w:r w:rsidRPr="00422835">
        <w:t xml:space="preserve">, foram encontrados 23 resultados, dentre os quais 3 foram considerados relevantes: </w:t>
      </w:r>
      <w:r w:rsidRPr="00422835">
        <w:rPr>
          <w:i/>
          <w:iCs/>
        </w:rPr>
        <w:t xml:space="preserve">“As Central Banks Digital </w:t>
      </w:r>
      <w:proofErr w:type="spellStart"/>
      <w:r w:rsidRPr="00422835">
        <w:rPr>
          <w:i/>
          <w:iCs/>
        </w:rPr>
        <w:t>Currencies</w:t>
      </w:r>
      <w:proofErr w:type="spellEnd"/>
      <w:r w:rsidRPr="00422835">
        <w:rPr>
          <w:i/>
          <w:iCs/>
        </w:rPr>
        <w:t xml:space="preserve"> como instrumentos de superação do subdesenvolvimento: o caso da Nigéria”</w:t>
      </w:r>
      <w:r w:rsidRPr="00422835">
        <w:t xml:space="preserve"> e </w:t>
      </w:r>
      <w:r w:rsidRPr="00422835">
        <w:rPr>
          <w:i/>
          <w:iCs/>
        </w:rPr>
        <w:t xml:space="preserve">“A digitalização dos meios de pagamento: o PIX e as Central Bank Digital </w:t>
      </w:r>
      <w:proofErr w:type="spellStart"/>
      <w:r w:rsidRPr="00422835">
        <w:rPr>
          <w:i/>
          <w:iCs/>
        </w:rPr>
        <w:t>Currencies</w:t>
      </w:r>
      <w:proofErr w:type="spellEnd"/>
      <w:r w:rsidRPr="00422835">
        <w:rPr>
          <w:i/>
          <w:iCs/>
        </w:rPr>
        <w:t xml:space="preserve"> em perspectiva comparada”</w:t>
      </w:r>
      <w:r w:rsidRPr="00422835">
        <w:t xml:space="preserve">, ambos de Daniel S. </w:t>
      </w:r>
      <w:proofErr w:type="spellStart"/>
      <w:r w:rsidRPr="00422835">
        <w:t>Kosinske</w:t>
      </w:r>
      <w:proofErr w:type="spellEnd"/>
      <w:r w:rsidRPr="00422835">
        <w:t xml:space="preserve">, e </w:t>
      </w:r>
      <w:r w:rsidRPr="00422835">
        <w:rPr>
          <w:i/>
          <w:iCs/>
        </w:rPr>
        <w:t xml:space="preserve">“A substituição do papel moeda por moeda digital”, </w:t>
      </w:r>
      <w:r w:rsidRPr="00422835">
        <w:t xml:space="preserve">de Fabiano </w:t>
      </w:r>
      <w:proofErr w:type="spellStart"/>
      <w:r w:rsidRPr="00422835">
        <w:t>Wernner</w:t>
      </w:r>
      <w:proofErr w:type="spellEnd"/>
      <w:r w:rsidRPr="00422835">
        <w:t xml:space="preserve"> de Souza Correia</w:t>
      </w:r>
      <w:r w:rsidRPr="00422835">
        <w:rPr>
          <w:i/>
          <w:iCs/>
        </w:rPr>
        <w:t xml:space="preserve">. </w:t>
      </w:r>
    </w:p>
    <w:p w14:paraId="1F312542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Na plataforma de busca “Portal de Periódicos CAPES” com as palavras-chave </w:t>
      </w:r>
      <w:r w:rsidRPr="00422835">
        <w:rPr>
          <w:i/>
          <w:iCs/>
        </w:rPr>
        <w:t>“CBDC”</w:t>
      </w:r>
      <w:r w:rsidRPr="00422835">
        <w:t xml:space="preserve"> e </w:t>
      </w:r>
      <w:r w:rsidRPr="00422835">
        <w:rPr>
          <w:i/>
          <w:iCs/>
        </w:rPr>
        <w:t>“Banco Central do Brasil”</w:t>
      </w:r>
      <w:r w:rsidRPr="00422835">
        <w:t xml:space="preserve">, foi encontrado 1 resultado, que corresponde a um dos artigos já mencionados. </w:t>
      </w:r>
    </w:p>
    <w:p w14:paraId="3B6F1A23" w14:textId="1156C6D8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Na plataforma de busca SSRN, com as palavras-chave </w:t>
      </w:r>
      <w:r w:rsidRPr="00422835">
        <w:rPr>
          <w:i/>
          <w:iCs/>
        </w:rPr>
        <w:t xml:space="preserve">“digital </w:t>
      </w:r>
      <w:proofErr w:type="spellStart"/>
      <w:r w:rsidRPr="00422835">
        <w:rPr>
          <w:i/>
          <w:iCs/>
        </w:rPr>
        <w:t>currency</w:t>
      </w:r>
      <w:proofErr w:type="spellEnd"/>
      <w:r w:rsidRPr="00422835">
        <w:rPr>
          <w:i/>
          <w:iCs/>
        </w:rPr>
        <w:t xml:space="preserve">” </w:t>
      </w:r>
      <w:r w:rsidRPr="00422835">
        <w:t xml:space="preserve">e </w:t>
      </w:r>
      <w:r w:rsidRPr="00422835">
        <w:rPr>
          <w:i/>
          <w:iCs/>
        </w:rPr>
        <w:t>“</w:t>
      </w:r>
      <w:proofErr w:type="spellStart"/>
      <w:r w:rsidRPr="00422835">
        <w:rPr>
          <w:i/>
          <w:iCs/>
        </w:rPr>
        <w:t>Brazil</w:t>
      </w:r>
      <w:proofErr w:type="spellEnd"/>
      <w:r w:rsidRPr="00422835">
        <w:rPr>
          <w:i/>
          <w:iCs/>
        </w:rPr>
        <w:t xml:space="preserve">”, </w:t>
      </w:r>
      <w:r w:rsidRPr="00422835">
        <w:t xml:space="preserve">foram encontrados 12 resultados, dos quais 2 foram considerados relevantes: </w:t>
      </w:r>
      <w:r w:rsidRPr="00422835">
        <w:rPr>
          <w:i/>
          <w:iCs/>
        </w:rPr>
        <w:t>“Central Bank Digital </w:t>
      </w:r>
      <w:proofErr w:type="spellStart"/>
      <w:r w:rsidRPr="00422835">
        <w:rPr>
          <w:i/>
          <w:iCs/>
        </w:rPr>
        <w:t>Currency</w:t>
      </w:r>
      <w:proofErr w:type="spellEnd"/>
      <w:r w:rsidRPr="00422835">
        <w:rPr>
          <w:i/>
          <w:iCs/>
        </w:rPr>
        <w:t> in </w:t>
      </w:r>
      <w:proofErr w:type="spellStart"/>
      <w:r w:rsidRPr="00422835">
        <w:rPr>
          <w:i/>
          <w:iCs/>
        </w:rPr>
        <w:t>Brazil</w:t>
      </w:r>
      <w:proofErr w:type="spellEnd"/>
      <w:r w:rsidRPr="00422835">
        <w:rPr>
          <w:i/>
          <w:iCs/>
        </w:rPr>
        <w:t xml:space="preserve">”, </w:t>
      </w:r>
      <w:r w:rsidRPr="00422835">
        <w:t xml:space="preserve">de João Manoel Pinho de Melo e Isabella </w:t>
      </w:r>
      <w:proofErr w:type="spellStart"/>
      <w:r w:rsidRPr="00422835">
        <w:t>Kanczuk</w:t>
      </w:r>
      <w:proofErr w:type="spellEnd"/>
      <w:r w:rsidRPr="00422835">
        <w:rPr>
          <w:i/>
          <w:iCs/>
        </w:rPr>
        <w:t xml:space="preserve"> </w:t>
      </w:r>
      <w:r w:rsidRPr="00422835">
        <w:t xml:space="preserve">e </w:t>
      </w:r>
      <w:r w:rsidRPr="00422835">
        <w:rPr>
          <w:i/>
          <w:iCs/>
        </w:rPr>
        <w:t xml:space="preserve">“Central bank digital </w:t>
      </w:r>
      <w:proofErr w:type="spellStart"/>
      <w:r w:rsidRPr="00422835">
        <w:rPr>
          <w:i/>
          <w:iCs/>
        </w:rPr>
        <w:t>currencies</w:t>
      </w:r>
      <w:proofErr w:type="spellEnd"/>
      <w:r w:rsidRPr="00422835">
        <w:rPr>
          <w:i/>
          <w:iCs/>
        </w:rPr>
        <w:t>: a high-</w:t>
      </w:r>
      <w:proofErr w:type="spellStart"/>
      <w:r w:rsidRPr="00422835">
        <w:rPr>
          <w:i/>
          <w:iCs/>
        </w:rPr>
        <w:t>level</w:t>
      </w:r>
      <w:proofErr w:type="spellEnd"/>
      <w:r w:rsidRPr="00422835">
        <w:rPr>
          <w:i/>
          <w:iCs/>
        </w:rPr>
        <w:t xml:space="preserve"> overview”, </w:t>
      </w:r>
      <w:r w:rsidRPr="00422835">
        <w:t xml:space="preserve">de </w:t>
      </w:r>
      <w:proofErr w:type="spellStart"/>
      <w:r w:rsidRPr="00422835">
        <w:t>Kleyton</w:t>
      </w:r>
      <w:proofErr w:type="spellEnd"/>
      <w:r w:rsidRPr="00422835">
        <w:t xml:space="preserve"> da Costa, Antônio José Alves Júnior, Felipe Leite Coelho da Silva, Débora Mesquita Pimentel e André de Melo </w:t>
      </w:r>
      <w:proofErr w:type="spellStart"/>
      <w:r w:rsidRPr="00422835">
        <w:t>Modenesi</w:t>
      </w:r>
      <w:proofErr w:type="spellEnd"/>
      <w:r w:rsidRPr="00422835">
        <w:t>.</w:t>
      </w:r>
    </w:p>
    <w:p w14:paraId="304A7D4B" w14:textId="011213ED" w:rsidR="00422835" w:rsidRPr="00422835" w:rsidRDefault="00422835" w:rsidP="00422835">
      <w:pPr>
        <w:spacing w:before="0" w:after="0" w:line="240" w:lineRule="auto"/>
        <w:ind w:firstLine="708"/>
      </w:pPr>
      <w:r w:rsidRPr="00422835">
        <w:t>Apesar dos artigos encontrados contribuírem para a discussão do tema, nenhum deles abordava ou respondia o problema principal investigado, o que reforç</w:t>
      </w:r>
      <w:r>
        <w:t>ou</w:t>
      </w:r>
      <w:r w:rsidRPr="00422835">
        <w:t xml:space="preserve"> a relevância da pesquisa</w:t>
      </w:r>
      <w:r>
        <w:t>.</w:t>
      </w:r>
      <w:r w:rsidRPr="00422835">
        <w:t xml:space="preserve"> </w:t>
      </w:r>
    </w:p>
    <w:p w14:paraId="34B57226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Quanto às indicações da orientadora Rubia Carneiro Neves, tem-se o livro </w:t>
      </w:r>
      <w:r w:rsidRPr="00422835">
        <w:rPr>
          <w:i/>
          <w:iCs/>
        </w:rPr>
        <w:t xml:space="preserve">“The </w:t>
      </w:r>
      <w:proofErr w:type="spellStart"/>
      <w:r w:rsidRPr="00422835">
        <w:rPr>
          <w:i/>
          <w:iCs/>
        </w:rPr>
        <w:t>End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of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Alchemy</w:t>
      </w:r>
      <w:proofErr w:type="spellEnd"/>
      <w:r w:rsidRPr="00422835">
        <w:rPr>
          <w:i/>
          <w:iCs/>
        </w:rPr>
        <w:t xml:space="preserve">: Money, Banking, </w:t>
      </w:r>
      <w:proofErr w:type="spellStart"/>
      <w:r w:rsidRPr="00422835">
        <w:rPr>
          <w:i/>
          <w:iCs/>
        </w:rPr>
        <w:t>and</w:t>
      </w:r>
      <w:proofErr w:type="spellEnd"/>
      <w:r w:rsidRPr="00422835">
        <w:rPr>
          <w:i/>
          <w:iCs/>
        </w:rPr>
        <w:t xml:space="preserve"> Future </w:t>
      </w:r>
      <w:proofErr w:type="spellStart"/>
      <w:r w:rsidRPr="00422835">
        <w:rPr>
          <w:i/>
          <w:iCs/>
        </w:rPr>
        <w:t>of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the</w:t>
      </w:r>
      <w:proofErr w:type="spellEnd"/>
      <w:r w:rsidRPr="00422835">
        <w:rPr>
          <w:i/>
          <w:iCs/>
        </w:rPr>
        <w:t xml:space="preserve"> Global </w:t>
      </w:r>
      <w:proofErr w:type="spellStart"/>
      <w:r w:rsidRPr="00422835">
        <w:rPr>
          <w:i/>
          <w:iCs/>
        </w:rPr>
        <w:t>Economy</w:t>
      </w:r>
      <w:proofErr w:type="spellEnd"/>
      <w:r w:rsidRPr="00422835">
        <w:rPr>
          <w:i/>
          <w:iCs/>
        </w:rPr>
        <w:t>”</w:t>
      </w:r>
      <w:r w:rsidRPr="00422835">
        <w:t xml:space="preserve">, de Mervyn King, </w:t>
      </w:r>
      <w:r w:rsidRPr="00422835">
        <w:rPr>
          <w:i/>
          <w:iCs/>
        </w:rPr>
        <w:t xml:space="preserve">“Moedas digitais: entenda o que são criptomoedas, stablecoins e </w:t>
      </w:r>
      <w:proofErr w:type="spellStart"/>
      <w:r w:rsidRPr="00422835">
        <w:rPr>
          <w:i/>
          <w:iCs/>
        </w:rPr>
        <w:t>CBDCs</w:t>
      </w:r>
      <w:proofErr w:type="spellEnd"/>
      <w:r w:rsidRPr="00422835">
        <w:rPr>
          <w:i/>
          <w:iCs/>
        </w:rPr>
        <w:t>”</w:t>
      </w:r>
      <w:r w:rsidRPr="00422835">
        <w:t xml:space="preserve">, </w:t>
      </w:r>
      <w:proofErr w:type="spellStart"/>
      <w:r w:rsidRPr="00422835">
        <w:t>Working</w:t>
      </w:r>
      <w:proofErr w:type="spellEnd"/>
      <w:r w:rsidRPr="00422835">
        <w:t xml:space="preserve"> </w:t>
      </w:r>
      <w:proofErr w:type="spellStart"/>
      <w:r w:rsidRPr="00422835">
        <w:t>Paper</w:t>
      </w:r>
      <w:proofErr w:type="spellEnd"/>
      <w:r w:rsidRPr="00422835">
        <w:t xml:space="preserve"> do Instituto Propague, produzido por Carlos Ragazzo e Bruna Cataldo, </w:t>
      </w:r>
      <w:r w:rsidRPr="00422835">
        <w:rPr>
          <w:i/>
          <w:iCs/>
        </w:rPr>
        <w:t xml:space="preserve">“Money in </w:t>
      </w:r>
      <w:proofErr w:type="spellStart"/>
      <w:r w:rsidRPr="00422835">
        <w:rPr>
          <w:i/>
          <w:iCs/>
        </w:rPr>
        <w:t>the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twenty-first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century</w:t>
      </w:r>
      <w:proofErr w:type="spellEnd"/>
      <w:r w:rsidRPr="00422835">
        <w:rPr>
          <w:i/>
          <w:iCs/>
        </w:rPr>
        <w:t xml:space="preserve">: </w:t>
      </w:r>
      <w:proofErr w:type="spellStart"/>
      <w:r w:rsidRPr="00422835">
        <w:rPr>
          <w:i/>
          <w:iCs/>
        </w:rPr>
        <w:t>from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rusty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coins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to</w:t>
      </w:r>
      <w:proofErr w:type="spellEnd"/>
      <w:r w:rsidRPr="00422835">
        <w:rPr>
          <w:i/>
          <w:iCs/>
        </w:rPr>
        <w:t xml:space="preserve"> digital </w:t>
      </w:r>
      <w:proofErr w:type="spellStart"/>
      <w:r w:rsidRPr="00422835">
        <w:rPr>
          <w:i/>
          <w:iCs/>
        </w:rPr>
        <w:t>Currencies</w:t>
      </w:r>
      <w:proofErr w:type="spellEnd"/>
      <w:r w:rsidRPr="00422835">
        <w:rPr>
          <w:i/>
          <w:iCs/>
        </w:rPr>
        <w:t>”</w:t>
      </w:r>
      <w:r w:rsidRPr="00422835">
        <w:t xml:space="preserve">, de Marcelo Madureira Prates, e </w:t>
      </w:r>
      <w:r w:rsidRPr="00422835">
        <w:rPr>
          <w:i/>
          <w:iCs/>
        </w:rPr>
        <w:t xml:space="preserve">“Perspectivas do Estágio Atual das Discussões para a Implementação da </w:t>
      </w:r>
      <w:r w:rsidRPr="00422835">
        <w:rPr>
          <w:i/>
          <w:iCs/>
        </w:rPr>
        <w:lastRenderedPageBreak/>
        <w:t>Central Bank Digital Currency no Brasil em Comparação com a Suécia e com os Estados Unidos da América”</w:t>
      </w:r>
      <w:r w:rsidRPr="00422835">
        <w:t>, de sua autoria em conjunto com Guilherme Motta.</w:t>
      </w:r>
    </w:p>
    <w:p w14:paraId="2FE8F5B8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Como indicação do professor Bruno </w:t>
      </w:r>
      <w:proofErr w:type="spellStart"/>
      <w:r w:rsidRPr="00422835">
        <w:t>Salama</w:t>
      </w:r>
      <w:proofErr w:type="spellEnd"/>
      <w:r w:rsidRPr="00422835">
        <w:t xml:space="preserve">, tem-se os livros sobre a Teoria da Moeda, </w:t>
      </w:r>
      <w:r w:rsidRPr="00422835">
        <w:rPr>
          <w:i/>
          <w:iCs/>
        </w:rPr>
        <w:t xml:space="preserve">“The </w:t>
      </w:r>
      <w:proofErr w:type="spellStart"/>
      <w:r w:rsidRPr="00422835">
        <w:rPr>
          <w:i/>
          <w:iCs/>
        </w:rPr>
        <w:t>State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Theory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of</w:t>
      </w:r>
      <w:proofErr w:type="spellEnd"/>
      <w:r w:rsidRPr="00422835">
        <w:rPr>
          <w:i/>
          <w:iCs/>
        </w:rPr>
        <w:t xml:space="preserve"> Money”</w:t>
      </w:r>
      <w:r w:rsidRPr="00422835">
        <w:t xml:space="preserve">, de Georg Friedrich </w:t>
      </w:r>
      <w:proofErr w:type="spellStart"/>
      <w:r w:rsidRPr="00422835">
        <w:t>Knapp</w:t>
      </w:r>
      <w:proofErr w:type="spellEnd"/>
      <w:r w:rsidRPr="00422835">
        <w:t xml:space="preserve"> e </w:t>
      </w:r>
      <w:r w:rsidRPr="00422835">
        <w:rPr>
          <w:i/>
          <w:iCs/>
        </w:rPr>
        <w:t xml:space="preserve">“The </w:t>
      </w:r>
      <w:proofErr w:type="spellStart"/>
      <w:r w:rsidRPr="00422835">
        <w:rPr>
          <w:i/>
          <w:iCs/>
        </w:rPr>
        <w:t>Theory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of</w:t>
      </w:r>
      <w:proofErr w:type="spellEnd"/>
      <w:r w:rsidRPr="00422835">
        <w:rPr>
          <w:i/>
          <w:iCs/>
        </w:rPr>
        <w:t xml:space="preserve"> Money </w:t>
      </w:r>
      <w:proofErr w:type="spellStart"/>
      <w:r w:rsidRPr="00422835">
        <w:rPr>
          <w:i/>
          <w:iCs/>
        </w:rPr>
        <w:t>and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Credit</w:t>
      </w:r>
      <w:proofErr w:type="spellEnd"/>
      <w:r w:rsidRPr="00422835">
        <w:rPr>
          <w:i/>
          <w:iCs/>
        </w:rPr>
        <w:t>”</w:t>
      </w:r>
      <w:r w:rsidRPr="00422835">
        <w:t xml:space="preserve">, de Ludwig Von </w:t>
      </w:r>
      <w:proofErr w:type="spellStart"/>
      <w:r w:rsidRPr="00422835">
        <w:t>Mises</w:t>
      </w:r>
      <w:proofErr w:type="spellEnd"/>
      <w:r w:rsidRPr="00422835">
        <w:t xml:space="preserve">. </w:t>
      </w:r>
    </w:p>
    <w:p w14:paraId="17276C7D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>Ao realizar busca no Google pelo termo “</w:t>
      </w:r>
      <w:proofErr w:type="spellStart"/>
      <w:r w:rsidRPr="00422835">
        <w:rPr>
          <w:i/>
          <w:iCs/>
        </w:rPr>
        <w:t>lytric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value</w:t>
      </w:r>
      <w:proofErr w:type="spellEnd"/>
      <w:r w:rsidRPr="00422835">
        <w:t xml:space="preserve">”, mencionado no livro de </w:t>
      </w:r>
      <w:proofErr w:type="spellStart"/>
      <w:r w:rsidRPr="00422835">
        <w:t>Knapp</w:t>
      </w:r>
      <w:proofErr w:type="spellEnd"/>
      <w:r w:rsidRPr="00422835">
        <w:t xml:space="preserve">, o sexto resultado da busca foi uma dissertação de mestrado do Instituto de Economia da UNICAMP, intitulado </w:t>
      </w:r>
      <w:r w:rsidRPr="00422835">
        <w:rPr>
          <w:i/>
          <w:iCs/>
        </w:rPr>
        <w:t>“Moeda, Convenção, Contratos e Impostos: uma contribuição para a teoria da aceitabilidade da moeda</w:t>
      </w:r>
      <w:r w:rsidRPr="00422835">
        <w:t xml:space="preserve">”, de Gustavo de Oliveira Aggio, defendida em 31 de julho de 2008. A dissertação foi considerada útil para a compreensão das Teorias da Moeda. </w:t>
      </w:r>
    </w:p>
    <w:p w14:paraId="5E79A650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>Para a abordagem das CBDCs, foram ainda utilizados os artigos “</w:t>
      </w:r>
      <w:r w:rsidRPr="00422835">
        <w:rPr>
          <w:i/>
          <w:iCs/>
        </w:rPr>
        <w:t xml:space="preserve">Legal </w:t>
      </w:r>
      <w:proofErr w:type="spellStart"/>
      <w:r w:rsidRPr="00422835">
        <w:rPr>
          <w:i/>
          <w:iCs/>
        </w:rPr>
        <w:t>Aspects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of</w:t>
      </w:r>
      <w:proofErr w:type="spellEnd"/>
      <w:r w:rsidRPr="00422835">
        <w:rPr>
          <w:i/>
          <w:iCs/>
        </w:rPr>
        <w:t xml:space="preserve"> Central Bank Digital </w:t>
      </w:r>
      <w:proofErr w:type="spellStart"/>
      <w:r w:rsidRPr="00422835">
        <w:rPr>
          <w:i/>
          <w:iCs/>
        </w:rPr>
        <w:t>Currency</w:t>
      </w:r>
      <w:proofErr w:type="spellEnd"/>
      <w:r w:rsidRPr="00422835">
        <w:rPr>
          <w:i/>
          <w:iCs/>
        </w:rPr>
        <w:t xml:space="preserve">: Central Bank </w:t>
      </w:r>
      <w:proofErr w:type="spellStart"/>
      <w:r w:rsidRPr="00422835">
        <w:rPr>
          <w:i/>
          <w:iCs/>
        </w:rPr>
        <w:t>and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Monetary</w:t>
      </w:r>
      <w:proofErr w:type="spellEnd"/>
      <w:r w:rsidRPr="00422835">
        <w:rPr>
          <w:i/>
          <w:iCs/>
        </w:rPr>
        <w:t xml:space="preserve"> Law </w:t>
      </w:r>
      <w:proofErr w:type="spellStart"/>
      <w:r w:rsidRPr="00422835">
        <w:rPr>
          <w:i/>
          <w:iCs/>
        </w:rPr>
        <w:t>Considerations</w:t>
      </w:r>
      <w:proofErr w:type="spellEnd"/>
      <w:r w:rsidRPr="00422835">
        <w:rPr>
          <w:i/>
          <w:iCs/>
        </w:rPr>
        <w:t xml:space="preserve">, </w:t>
      </w:r>
      <w:r w:rsidRPr="00422835">
        <w:t xml:space="preserve">de Wouter </w:t>
      </w:r>
      <w:proofErr w:type="spellStart"/>
      <w:r w:rsidRPr="00422835">
        <w:t>Bossu</w:t>
      </w:r>
      <w:proofErr w:type="spellEnd"/>
      <w:r w:rsidRPr="00422835">
        <w:t xml:space="preserve">, Masaru </w:t>
      </w:r>
      <w:proofErr w:type="spellStart"/>
      <w:r w:rsidRPr="00422835">
        <w:t>Itatani</w:t>
      </w:r>
      <w:proofErr w:type="spellEnd"/>
      <w:r w:rsidRPr="00422835">
        <w:t xml:space="preserve">, Catalina </w:t>
      </w:r>
      <w:proofErr w:type="spellStart"/>
      <w:r w:rsidRPr="00422835">
        <w:t>Margulis</w:t>
      </w:r>
      <w:proofErr w:type="spellEnd"/>
      <w:r w:rsidRPr="00422835">
        <w:t xml:space="preserve">, Arthur Rossi, Hans </w:t>
      </w:r>
      <w:proofErr w:type="spellStart"/>
      <w:r w:rsidRPr="00422835">
        <w:t>Weenink</w:t>
      </w:r>
      <w:proofErr w:type="spellEnd"/>
      <w:r w:rsidRPr="00422835">
        <w:t xml:space="preserve"> e </w:t>
      </w:r>
      <w:proofErr w:type="spellStart"/>
      <w:r w:rsidRPr="00422835">
        <w:t>Akihiro</w:t>
      </w:r>
      <w:proofErr w:type="spellEnd"/>
      <w:r w:rsidRPr="00422835">
        <w:t xml:space="preserve"> </w:t>
      </w:r>
      <w:proofErr w:type="spellStart"/>
      <w:r w:rsidRPr="00422835">
        <w:t>Yoshinaga</w:t>
      </w:r>
      <w:proofErr w:type="spellEnd"/>
      <w:r w:rsidRPr="00422835">
        <w:t xml:space="preserve"> e “</w:t>
      </w:r>
      <w:r w:rsidRPr="00422835">
        <w:rPr>
          <w:i/>
          <w:iCs/>
        </w:rPr>
        <w:t xml:space="preserve">Central Bank Digital </w:t>
      </w:r>
      <w:proofErr w:type="spellStart"/>
      <w:r w:rsidRPr="00422835">
        <w:rPr>
          <w:i/>
          <w:iCs/>
        </w:rPr>
        <w:t>Currency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under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the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State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Theory</w:t>
      </w:r>
      <w:proofErr w:type="spellEnd"/>
      <w:r w:rsidRPr="00422835">
        <w:rPr>
          <w:i/>
          <w:iCs/>
        </w:rPr>
        <w:t xml:space="preserve"> </w:t>
      </w:r>
      <w:proofErr w:type="spellStart"/>
      <w:r w:rsidRPr="00422835">
        <w:rPr>
          <w:i/>
          <w:iCs/>
        </w:rPr>
        <w:t>of</w:t>
      </w:r>
      <w:proofErr w:type="spellEnd"/>
      <w:r w:rsidRPr="00422835">
        <w:rPr>
          <w:i/>
          <w:iCs/>
        </w:rPr>
        <w:t xml:space="preserve"> Money: A </w:t>
      </w:r>
      <w:proofErr w:type="spellStart"/>
      <w:r w:rsidRPr="00422835">
        <w:rPr>
          <w:i/>
          <w:iCs/>
        </w:rPr>
        <w:t>preliminary</w:t>
      </w:r>
      <w:proofErr w:type="spellEnd"/>
      <w:r w:rsidRPr="00422835">
        <w:rPr>
          <w:i/>
          <w:iCs/>
        </w:rPr>
        <w:t xml:space="preserve"> legal </w:t>
      </w:r>
      <w:proofErr w:type="spellStart"/>
      <w:r w:rsidRPr="00422835">
        <w:rPr>
          <w:i/>
          <w:iCs/>
        </w:rPr>
        <w:t>analysis</w:t>
      </w:r>
      <w:proofErr w:type="spellEnd"/>
      <w:r w:rsidRPr="00422835">
        <w:t xml:space="preserve">”, de </w:t>
      </w:r>
      <w:proofErr w:type="spellStart"/>
      <w:r w:rsidRPr="00422835">
        <w:t>Fransiska</w:t>
      </w:r>
      <w:proofErr w:type="spellEnd"/>
      <w:r w:rsidRPr="00422835">
        <w:t xml:space="preserve"> Ari </w:t>
      </w:r>
      <w:proofErr w:type="spellStart"/>
      <w:r w:rsidRPr="00422835">
        <w:t>Indrawati</w:t>
      </w:r>
      <w:proofErr w:type="spellEnd"/>
      <w:r w:rsidRPr="00422835">
        <w:t xml:space="preserve">. </w:t>
      </w:r>
    </w:p>
    <w:p w14:paraId="7BEE4006" w14:textId="77777777" w:rsidR="00422835" w:rsidRPr="00422835" w:rsidRDefault="00422835" w:rsidP="00422835">
      <w:pPr>
        <w:spacing w:before="0" w:after="0" w:line="240" w:lineRule="auto"/>
        <w:ind w:firstLine="708"/>
      </w:pPr>
      <w:r w:rsidRPr="00422835">
        <w:t xml:space="preserve">A análise do estágio do Real Digital foi realizada principalmente pelos documentos disponibilizados no site do Banco Central do Brasil, como os Votos 31/2023-BCB, de 14 de fevereiro de 2023 e 73/2023–BCB, de 26 de abril de 2023; a Resolução BCB nº 315, de 27 de abril de 2023; e pelo artigo </w:t>
      </w:r>
      <w:r w:rsidRPr="00422835">
        <w:rPr>
          <w:i/>
          <w:iCs/>
        </w:rPr>
        <w:t>“Crítica à Proposta de Criação de Real Digital de "Varejo"”</w:t>
      </w:r>
      <w:r w:rsidRPr="00422835">
        <w:t xml:space="preserve">, de Bruno </w:t>
      </w:r>
      <w:proofErr w:type="spellStart"/>
      <w:r w:rsidRPr="00422835">
        <w:t>Salama</w:t>
      </w:r>
      <w:proofErr w:type="spellEnd"/>
      <w:r w:rsidRPr="00422835">
        <w:t xml:space="preserve"> e </w:t>
      </w:r>
      <w:proofErr w:type="spellStart"/>
      <w:r w:rsidRPr="00422835">
        <w:t>Leonidas</w:t>
      </w:r>
      <w:proofErr w:type="spellEnd"/>
      <w:r w:rsidRPr="00422835">
        <w:t xml:space="preserve"> </w:t>
      </w:r>
      <w:proofErr w:type="spellStart"/>
      <w:r w:rsidRPr="00422835">
        <w:t>Zelmanovitz</w:t>
      </w:r>
      <w:proofErr w:type="spellEnd"/>
      <w:r w:rsidRPr="00422835">
        <w:t>.</w:t>
      </w:r>
    </w:p>
    <w:p w14:paraId="1760AC0C" w14:textId="77777777" w:rsidR="00422835" w:rsidRDefault="00422835" w:rsidP="00422835">
      <w:pPr>
        <w:spacing w:before="0" w:after="0" w:line="240" w:lineRule="auto"/>
        <w:ind w:firstLine="708"/>
      </w:pPr>
    </w:p>
    <w:p w14:paraId="48732917" w14:textId="77777777" w:rsidR="005122DB" w:rsidRDefault="005122DB" w:rsidP="00884E5E">
      <w:pPr>
        <w:spacing w:before="0" w:after="0" w:line="240" w:lineRule="auto"/>
      </w:pPr>
    </w:p>
    <w:p w14:paraId="60239BD5" w14:textId="77777777" w:rsidR="00884E5E" w:rsidRPr="00884E5E" w:rsidRDefault="00884E5E" w:rsidP="00884E5E">
      <w:pPr>
        <w:spacing w:before="0" w:after="0" w:line="240" w:lineRule="auto"/>
      </w:pPr>
    </w:p>
    <w:p w14:paraId="511E21DB" w14:textId="77777777" w:rsidR="00176E99" w:rsidRDefault="00176E99" w:rsidP="00884E5E">
      <w:pPr>
        <w:numPr>
          <w:ilvl w:val="0"/>
          <w:numId w:val="1"/>
        </w:numPr>
        <w:spacing w:before="0" w:after="0" w:line="24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Resultados Alcançados</w:t>
      </w:r>
    </w:p>
    <w:p w14:paraId="68383A7D" w14:textId="77777777" w:rsidR="00DC56CF" w:rsidRDefault="00DC56CF" w:rsidP="00884E5E">
      <w:pPr>
        <w:pStyle w:val="PargrafodaLista"/>
        <w:spacing w:before="0" w:after="0" w:line="240" w:lineRule="auto"/>
        <w:ind w:left="0"/>
      </w:pPr>
    </w:p>
    <w:p w14:paraId="0C05A27B" w14:textId="32AC4B20" w:rsidR="00176E99" w:rsidRPr="00071C3F" w:rsidRDefault="00176E99" w:rsidP="00884E5E">
      <w:pPr>
        <w:pStyle w:val="PargrafodaLista"/>
        <w:spacing w:before="0" w:after="0" w:line="240" w:lineRule="auto"/>
        <w:ind w:left="0"/>
      </w:pPr>
      <w:r w:rsidRPr="00DC56CF">
        <w:rPr>
          <w:color w:val="FF0000"/>
        </w:rPr>
        <w:t>Em que medida o(a) bolsista cumpriu o plano de atividades?</w:t>
      </w:r>
      <w:r w:rsidR="00071C3F">
        <w:rPr>
          <w:color w:val="FF0000"/>
        </w:rPr>
        <w:t xml:space="preserve"> </w:t>
      </w:r>
      <w:r w:rsidR="00071C3F" w:rsidRPr="00071C3F">
        <w:t>A bolsista cumpriu com o plano de atividades estabelecido.</w:t>
      </w:r>
    </w:p>
    <w:p w14:paraId="1A938B1E" w14:textId="77777777" w:rsidR="005B6ED7" w:rsidRDefault="005B6ED7" w:rsidP="005B6ED7">
      <w:pPr>
        <w:spacing w:before="0" w:after="0" w:line="240" w:lineRule="auto"/>
        <w:rPr>
          <w:color w:val="FF0000"/>
        </w:rPr>
      </w:pPr>
    </w:p>
    <w:p w14:paraId="08625431" w14:textId="7D4C0C68" w:rsidR="005B6ED7" w:rsidRDefault="00176E99" w:rsidP="005B6ED7">
      <w:pPr>
        <w:spacing w:before="0" w:after="0" w:line="240" w:lineRule="auto"/>
      </w:pPr>
      <w:r w:rsidRPr="005B6ED7">
        <w:rPr>
          <w:color w:val="FF0000"/>
        </w:rPr>
        <w:t>Durante a execução do projeto, o(a) bolsista desenvolveu outras atividades além das previstas no planejamento original?</w:t>
      </w:r>
      <w:r w:rsidR="005B6ED7">
        <w:rPr>
          <w:color w:val="FF0000"/>
        </w:rPr>
        <w:t xml:space="preserve"> </w:t>
      </w:r>
      <w:r w:rsidR="005B6ED7" w:rsidRPr="005B6ED7">
        <w:t xml:space="preserve">Além do planejamento inicial da pesquisa, a aluna fez o processo seletivo para se tornar monitora da matéria sobre os negócios e regulação do Sistema Financeiro Nacional na graduação, lecionada pela orientadora, assim como participou </w:t>
      </w:r>
      <w:r w:rsidR="005B6ED7">
        <w:t>de aulas selecionadas na</w:t>
      </w:r>
      <w:r w:rsidR="005B6ED7" w:rsidRPr="005B6ED7">
        <w:t xml:space="preserve"> disciplina de pós-graduação e acompanhou palestras e seminários sobre o assunto.</w:t>
      </w:r>
    </w:p>
    <w:p w14:paraId="0A3E36ED" w14:textId="77777777" w:rsidR="005B6ED7" w:rsidRDefault="005B6ED7" w:rsidP="00884E5E">
      <w:pPr>
        <w:spacing w:before="0" w:after="0" w:line="240" w:lineRule="auto"/>
      </w:pPr>
    </w:p>
    <w:p w14:paraId="0DF8659A" w14:textId="3634A828" w:rsidR="00176E99" w:rsidRPr="005B6ED7" w:rsidRDefault="00176E99" w:rsidP="00884E5E">
      <w:pPr>
        <w:spacing w:before="0" w:after="0" w:line="240" w:lineRule="auto"/>
        <w:rPr>
          <w:color w:val="FF0000"/>
        </w:rPr>
      </w:pPr>
      <w:r w:rsidRPr="005B6ED7">
        <w:rPr>
          <w:color w:val="FF0000"/>
        </w:rPr>
        <w:t>O(A) bolsista foi comunicado(a) e orientado(a) a respeito das atividades a serem exercidas por ele(a) no projeto?</w:t>
      </w:r>
      <w:r w:rsidR="00071C3F">
        <w:rPr>
          <w:color w:val="FF0000"/>
        </w:rPr>
        <w:t xml:space="preserve"> </w:t>
      </w:r>
      <w:r w:rsidR="00071C3F" w:rsidRPr="00071C3F">
        <w:t>Sim. O canal de comunicação entre a bolsista e a orientadora esteve sempre aberto e facilitado, não faltando orientação detalhada e bem direcionada para o desenvolvimento do projeto.</w:t>
      </w:r>
    </w:p>
    <w:p w14:paraId="1174A2A0" w14:textId="77777777" w:rsidR="005B6ED7" w:rsidRDefault="005B6ED7" w:rsidP="00884E5E">
      <w:pPr>
        <w:spacing w:before="0" w:after="0" w:line="240" w:lineRule="auto"/>
        <w:rPr>
          <w:color w:val="FF0000"/>
        </w:rPr>
      </w:pPr>
    </w:p>
    <w:p w14:paraId="0D5E7594" w14:textId="4CCECDAF" w:rsidR="00176E99" w:rsidRPr="005B6ED7" w:rsidRDefault="00176E99" w:rsidP="00884E5E">
      <w:pPr>
        <w:spacing w:before="0" w:after="0" w:line="240" w:lineRule="auto"/>
        <w:rPr>
          <w:color w:val="FF0000"/>
        </w:rPr>
      </w:pPr>
      <w:r w:rsidRPr="005B6ED7">
        <w:rPr>
          <w:color w:val="FF0000"/>
        </w:rPr>
        <w:t>O(A) bolsista foi acompanhado(a) durante todo o desenvolvimento do Projeto?</w:t>
      </w:r>
      <w:r w:rsidR="00071C3F">
        <w:rPr>
          <w:color w:val="FF0000"/>
        </w:rPr>
        <w:t xml:space="preserve"> </w:t>
      </w:r>
      <w:r w:rsidR="00071C3F" w:rsidRPr="00071C3F">
        <w:t>Sim.</w:t>
      </w:r>
    </w:p>
    <w:p w14:paraId="562941CE" w14:textId="77777777" w:rsidR="005B6ED7" w:rsidRDefault="005B6ED7" w:rsidP="00884E5E">
      <w:pPr>
        <w:spacing w:before="0" w:after="0" w:line="240" w:lineRule="auto"/>
        <w:rPr>
          <w:color w:val="FF0000"/>
        </w:rPr>
      </w:pPr>
    </w:p>
    <w:p w14:paraId="7BD15DD1" w14:textId="39F3B9BC" w:rsidR="00176E99" w:rsidRPr="005B6ED7" w:rsidRDefault="00176E99" w:rsidP="00884E5E">
      <w:pPr>
        <w:spacing w:before="0" w:after="0" w:line="240" w:lineRule="auto"/>
        <w:rPr>
          <w:color w:val="FF0000"/>
        </w:rPr>
      </w:pPr>
      <w:r w:rsidRPr="005B6ED7">
        <w:rPr>
          <w:color w:val="FF0000"/>
        </w:rPr>
        <w:t>Qual foi a periodicidade de encontros do(a) senhor(a) com o(a) bolsista durante o desenvolvimento do projeto?</w:t>
      </w:r>
      <w:r w:rsidR="005B6ED7">
        <w:rPr>
          <w:color w:val="FF0000"/>
        </w:rPr>
        <w:t xml:space="preserve"> </w:t>
      </w:r>
      <w:r w:rsidR="005B6ED7" w:rsidRPr="005B6ED7">
        <w:t>Periodicidade quinzenal.</w:t>
      </w:r>
    </w:p>
    <w:p w14:paraId="1BF24FFF" w14:textId="77777777" w:rsidR="005B6ED7" w:rsidRDefault="005B6ED7" w:rsidP="00884E5E">
      <w:pPr>
        <w:spacing w:before="0" w:after="0" w:line="240" w:lineRule="auto"/>
        <w:rPr>
          <w:color w:val="FF0000"/>
        </w:rPr>
      </w:pPr>
    </w:p>
    <w:p w14:paraId="2A091DD4" w14:textId="6151D8AD" w:rsidR="00176E99" w:rsidRPr="005B6ED7" w:rsidRDefault="00176E99" w:rsidP="00884E5E">
      <w:pPr>
        <w:spacing w:before="0" w:after="0" w:line="240" w:lineRule="auto"/>
      </w:pPr>
      <w:r w:rsidRPr="005B6ED7">
        <w:rPr>
          <w:color w:val="FF0000"/>
        </w:rPr>
        <w:t>Houve contribuição do Projeto para a formação do(as) bolsista(s) envolvido(as)?</w:t>
      </w:r>
      <w:r w:rsidR="005B6ED7">
        <w:rPr>
          <w:color w:val="FF0000"/>
        </w:rPr>
        <w:t xml:space="preserve"> </w:t>
      </w:r>
      <w:r w:rsidR="005B6ED7" w:rsidRPr="005B6ED7">
        <w:t>O projeto abriu muitas portas profissionais à bolsista, que hoje, recém-formada, foi contratada para trabalhar em um escritório de advocacia na área de Regulatório Bancário, Meios de Pagamento e Fintechs.</w:t>
      </w:r>
    </w:p>
    <w:p w14:paraId="5FD09E32" w14:textId="77777777" w:rsidR="005B6ED7" w:rsidRDefault="005B6ED7" w:rsidP="005B6ED7">
      <w:pPr>
        <w:spacing w:before="0" w:after="0" w:line="240" w:lineRule="auto"/>
        <w:rPr>
          <w:color w:val="FF0000"/>
        </w:rPr>
      </w:pPr>
    </w:p>
    <w:p w14:paraId="5AEAD91F" w14:textId="44071C2C" w:rsidR="005B6ED7" w:rsidRPr="005B6ED7" w:rsidRDefault="00D1525C" w:rsidP="005B6ED7">
      <w:pPr>
        <w:spacing w:before="0" w:after="0" w:line="240" w:lineRule="auto"/>
        <w:rPr>
          <w:color w:val="FF0000"/>
        </w:rPr>
      </w:pPr>
      <w:r w:rsidRPr="005B6ED7">
        <w:rPr>
          <w:color w:val="FF0000"/>
        </w:rPr>
        <w:t>As perguntas pesquisadas foram respondidas? As hipóteses puderam ser verificadas?</w:t>
      </w:r>
      <w:r w:rsidR="005B6ED7">
        <w:rPr>
          <w:color w:val="FF0000"/>
        </w:rPr>
        <w:t xml:space="preserve"> </w:t>
      </w:r>
      <w:r w:rsidR="005B6ED7" w:rsidRPr="005B6ED7">
        <w:t xml:space="preserve">Ao final, com o estudo realizado, tudo indica ser possível confirmar a hipótese inicialmente delineada, pois concluiu-se que o Real Digital tende a contribuir para a manutenção do controle Estatal sobre a condução da política monetária, visto que mantém as características de moeda oficial ao mesmo tempo em que se utiliza da tecnologia </w:t>
      </w:r>
      <w:r w:rsidR="005B6ED7" w:rsidRPr="005B6ED7">
        <w:rPr>
          <w:i/>
          <w:iCs/>
        </w:rPr>
        <w:t>Distributed Ledger Technology</w:t>
      </w:r>
      <w:r w:rsidR="005B6ED7" w:rsidRPr="005B6ED7">
        <w:t xml:space="preserve"> – DLT. Nesse sentido, há indícios de que o Real Digital se constituirá como objeto oferecido pelo Estado de modo descentralizado para efetuar pagamentos e precificar bens e direitos, tendendo com isso, a assegurar o interesse da população pela moeda oficial, o que parece contribuir para manter o poder estatal em relação à sua emissão e regulação.</w:t>
      </w:r>
    </w:p>
    <w:p w14:paraId="3ACA0E14" w14:textId="7E9861E2" w:rsidR="00176E99" w:rsidRPr="005B6ED7" w:rsidRDefault="00176E99" w:rsidP="00884E5E">
      <w:pPr>
        <w:spacing w:before="0" w:after="0" w:line="240" w:lineRule="auto"/>
        <w:rPr>
          <w:color w:val="FF0000"/>
        </w:rPr>
      </w:pPr>
    </w:p>
    <w:p w14:paraId="748AFAB7" w14:textId="77777777" w:rsidR="00884E5E" w:rsidRPr="00633426" w:rsidRDefault="00884E5E" w:rsidP="00884E5E">
      <w:pPr>
        <w:spacing w:before="0" w:after="0" w:line="240" w:lineRule="auto"/>
      </w:pPr>
    </w:p>
    <w:p w14:paraId="12C13C70" w14:textId="77777777" w:rsidR="00176E99" w:rsidRDefault="00176E99" w:rsidP="00884E5E">
      <w:pPr>
        <w:numPr>
          <w:ilvl w:val="0"/>
          <w:numId w:val="1"/>
        </w:numPr>
        <w:spacing w:before="0" w:after="0" w:line="240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Considerações/Avaliação Final</w:t>
      </w:r>
    </w:p>
    <w:p w14:paraId="582D88D3" w14:textId="77777777" w:rsidR="0031577F" w:rsidRDefault="0031577F" w:rsidP="00884E5E">
      <w:pPr>
        <w:spacing w:before="0" w:after="0" w:line="240" w:lineRule="auto"/>
        <w:rPr>
          <w:color w:val="FF0000"/>
        </w:rPr>
      </w:pPr>
    </w:p>
    <w:p w14:paraId="7E296E6C" w14:textId="700A5A0D" w:rsidR="00D1525C" w:rsidRPr="005B6ED7" w:rsidRDefault="00D1525C" w:rsidP="00884E5E">
      <w:pPr>
        <w:spacing w:before="0" w:after="0" w:line="240" w:lineRule="auto"/>
        <w:rPr>
          <w:color w:val="FF0000"/>
        </w:rPr>
      </w:pPr>
      <w:r w:rsidRPr="005B6ED7">
        <w:rPr>
          <w:color w:val="FF0000"/>
        </w:rPr>
        <w:t>Que questões ainda merecem ser investigadas?</w:t>
      </w:r>
      <w:r w:rsidR="0031577F">
        <w:rPr>
          <w:color w:val="FF0000"/>
        </w:rPr>
        <w:t xml:space="preserve"> </w:t>
      </w:r>
      <w:r w:rsidRPr="005B6ED7">
        <w:rPr>
          <w:color w:val="FF0000"/>
        </w:rPr>
        <w:t>Identificou novas questões de pesquisa para etapas seguintes de pesquisa?</w:t>
      </w:r>
    </w:p>
    <w:p w14:paraId="5D73741C" w14:textId="77777777" w:rsidR="005B6ED7" w:rsidRDefault="005B6ED7" w:rsidP="00884E5E">
      <w:pPr>
        <w:spacing w:before="0" w:after="0" w:line="240" w:lineRule="auto"/>
      </w:pPr>
    </w:p>
    <w:p w14:paraId="0140E860" w14:textId="77777777" w:rsidR="005B6ED7" w:rsidRPr="005B6ED7" w:rsidRDefault="005B6ED7" w:rsidP="005B6ED7">
      <w:pPr>
        <w:spacing w:before="0" w:after="0" w:line="240" w:lineRule="auto"/>
        <w:ind w:firstLine="708"/>
      </w:pPr>
      <w:r w:rsidRPr="005B6ED7">
        <w:t xml:space="preserve">O estudo realizado permitiu confirmar a hipótese da pergunta principal investigada, pois compreendeu-se que o Real Digital tem elevadas chances de contribuir para que o Estado brasileiro mantenha o seu poder de emissão e regulação da moeda oficial, visto que mantém as características de moeda oficial em adição às vantagens da tecnologia DLT. </w:t>
      </w:r>
    </w:p>
    <w:p w14:paraId="321F5822" w14:textId="77777777" w:rsidR="005B6ED7" w:rsidRPr="005B6ED7" w:rsidRDefault="005B6ED7" w:rsidP="005B6ED7">
      <w:pPr>
        <w:spacing w:before="0" w:after="0" w:line="240" w:lineRule="auto"/>
        <w:ind w:firstLine="708"/>
      </w:pPr>
      <w:r w:rsidRPr="005B6ED7">
        <w:t>No estágio da investigação desenvolvida, pode-se dizer que o Real Digital no formato de atacado promete se constituir como objeto a ser oferecido pelo Estado de modo digital e descentralizado para efetuar pagamentos e precificar bens e direitos, tendendo, com isso, a assegurar o interesse da população pela moeda oficial e a manter o poder estatal em relação à sua emissão e regulação.</w:t>
      </w:r>
    </w:p>
    <w:p w14:paraId="7784DF19" w14:textId="77777777" w:rsidR="005B6ED7" w:rsidRPr="005B6ED7" w:rsidRDefault="005B6ED7" w:rsidP="005B6ED7">
      <w:pPr>
        <w:spacing w:before="0" w:after="0" w:line="240" w:lineRule="auto"/>
        <w:ind w:firstLine="708"/>
      </w:pPr>
      <w:r w:rsidRPr="005B6ED7">
        <w:t>Como se demonstrou, desde que exercidas em prol do interesse público de manutenção dos preços e da estabilidade monetária, é indicado que o Estado mantenha o controle dessas funções de emitir e regular a moeda oficial.</w:t>
      </w:r>
    </w:p>
    <w:p w14:paraId="3F6FCA1D" w14:textId="77777777" w:rsidR="005B6ED7" w:rsidRDefault="005B6ED7" w:rsidP="005B6ED7">
      <w:pPr>
        <w:spacing w:before="0" w:after="0" w:line="240" w:lineRule="auto"/>
        <w:ind w:firstLine="708"/>
      </w:pPr>
      <w:r w:rsidRPr="005B6ED7">
        <w:t>Para futuras pesquisas, pode-se aprofundar o estudo dos efeitos da instituição de CBDC de varejo, por meio da qual o Real Digital seria emitido diretamente para os usuários finais com a provável diminuição do papel dos bancos privados na emissão de moeda e o desincentivo da oferta de crédito.</w:t>
      </w:r>
    </w:p>
    <w:p w14:paraId="7E891EF4" w14:textId="77777777" w:rsidR="00071C3F" w:rsidRPr="005B6ED7" w:rsidRDefault="00071C3F" w:rsidP="005B6ED7">
      <w:pPr>
        <w:spacing w:before="0" w:after="0" w:line="240" w:lineRule="auto"/>
        <w:ind w:firstLine="708"/>
      </w:pPr>
    </w:p>
    <w:p w14:paraId="1FF798C6" w14:textId="77777777" w:rsidR="005B6ED7" w:rsidRPr="00D1525C" w:rsidRDefault="005B6ED7" w:rsidP="00884E5E">
      <w:pPr>
        <w:spacing w:before="0" w:after="0" w:line="240" w:lineRule="auto"/>
      </w:pPr>
    </w:p>
    <w:p w14:paraId="3C803349" w14:textId="106C9357" w:rsidR="00071C3F" w:rsidRDefault="00071C3F" w:rsidP="00071C3F">
      <w:pPr>
        <w:spacing w:before="0" w:after="300"/>
        <w:ind w:left="360" w:hanging="360"/>
        <w:contextualSpacing/>
        <w:outlineLvl w:val="0"/>
        <w:rPr>
          <w:b/>
          <w:bCs/>
          <w:lang w:val="en-US"/>
        </w:rPr>
      </w:pPr>
      <w:bookmarkStart w:id="0" w:name="_Toc138425061"/>
      <w:r w:rsidRPr="00071C3F">
        <w:rPr>
          <w:b/>
          <w:bCs/>
          <w:lang w:val="en-US"/>
        </w:rPr>
        <w:t>REFERÊNCIAS</w:t>
      </w:r>
      <w:bookmarkEnd w:id="0"/>
      <w:r>
        <w:rPr>
          <w:b/>
          <w:bCs/>
          <w:lang w:val="en-US"/>
        </w:rPr>
        <w:t xml:space="preserve"> BIBLIOGRÁFICAS:</w:t>
      </w:r>
    </w:p>
    <w:p w14:paraId="6581E0D7" w14:textId="77777777" w:rsidR="00071C3F" w:rsidRPr="00071C3F" w:rsidRDefault="00071C3F" w:rsidP="00071C3F">
      <w:pPr>
        <w:spacing w:before="0" w:after="300"/>
        <w:ind w:left="360" w:hanging="360"/>
        <w:contextualSpacing/>
        <w:outlineLvl w:val="0"/>
        <w:rPr>
          <w:b/>
          <w:lang w:val="en-US"/>
        </w:rPr>
      </w:pPr>
    </w:p>
    <w:sdt>
      <w:sdtPr>
        <w:tag w:val="MENDELEY_BIBLIOGRAPHY"/>
        <w:id w:val="-1558859689"/>
        <w:placeholder>
          <w:docPart w:val="D3C87051C8E74F0C9E37CA921E85FCC7"/>
        </w:placeholder>
      </w:sdtPr>
      <w:sdtContent>
        <w:p w14:paraId="1D3C528F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t xml:space="preserve">AGGIO, G. DE O. </w:t>
          </w:r>
          <w:r w:rsidRPr="00071C3F">
            <w:rPr>
              <w:b/>
              <w:bCs/>
            </w:rPr>
            <w:t>Moeda, convenção, contratos e impostos uma contribuição para a teoria da aceitabilidade da moeda</w:t>
          </w:r>
          <w:r w:rsidRPr="00071C3F">
            <w:t xml:space="preserve">. </w:t>
          </w:r>
          <w:r w:rsidRPr="00071C3F">
            <w:rPr>
              <w:lang w:val="en-US"/>
            </w:rPr>
            <w:t>[</w:t>
          </w:r>
          <w:proofErr w:type="spellStart"/>
          <w:r w:rsidRPr="00071C3F">
            <w:rPr>
              <w:lang w:val="en-US"/>
            </w:rPr>
            <w:t>s.l</w:t>
          </w:r>
          <w:proofErr w:type="spellEnd"/>
          <w:r w:rsidRPr="00071C3F">
            <w:rPr>
              <w:lang w:val="en-US"/>
            </w:rPr>
            <w:t xml:space="preserve">: </w:t>
          </w:r>
          <w:proofErr w:type="spellStart"/>
          <w:r w:rsidRPr="00071C3F">
            <w:rPr>
              <w:lang w:val="en-US"/>
            </w:rPr>
            <w:t>s.n</w:t>
          </w:r>
          <w:proofErr w:type="spellEnd"/>
          <w:r w:rsidRPr="00071C3F">
            <w:rPr>
              <w:lang w:val="en-US"/>
            </w:rPr>
            <w:t>.].</w:t>
          </w:r>
        </w:p>
        <w:p w14:paraId="2E380607" w14:textId="77777777" w:rsidR="00071C3F" w:rsidRPr="00071C3F" w:rsidRDefault="00071C3F" w:rsidP="00071C3F">
          <w:pPr>
            <w:spacing w:after="0" w:line="240" w:lineRule="auto"/>
          </w:pPr>
          <w:r w:rsidRPr="00071C3F">
            <w:rPr>
              <w:lang w:val="en-US"/>
            </w:rPr>
            <w:t xml:space="preserve">ARNER, D.; AUER, R.; FROST, J. </w:t>
          </w:r>
          <w:r w:rsidRPr="00071C3F">
            <w:rPr>
              <w:b/>
              <w:bCs/>
              <w:lang w:val="en-US"/>
            </w:rPr>
            <w:t>Stablecoins: risks, potential and regulation</w:t>
          </w:r>
          <w:r w:rsidRPr="00071C3F">
            <w:rPr>
              <w:lang w:val="en-US"/>
            </w:rPr>
            <w:t xml:space="preserve">. </w:t>
          </w:r>
          <w:r w:rsidRPr="00071C3F">
            <w:t>[</w:t>
          </w:r>
          <w:proofErr w:type="spellStart"/>
          <w:r w:rsidRPr="00071C3F">
            <w:t>s.l</w:t>
          </w:r>
          <w:proofErr w:type="spellEnd"/>
          <w:r w:rsidRPr="00071C3F">
            <w:t>: s.n.]. Disponível em: &lt;www.bis.org&gt;.</w:t>
          </w:r>
        </w:p>
        <w:p w14:paraId="364BF85C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t xml:space="preserve">BAROSSI-FILHO, M.; SZTAJN, R.; MAZZONI, J. F. R. Desafios Jurídicos e Econômicos da Moeda Digital: a emissão pelos bancos centrais. </w:t>
          </w:r>
          <w:r w:rsidRPr="00071C3F">
            <w:rPr>
              <w:b/>
              <w:bCs/>
              <w:lang w:val="en-US"/>
            </w:rPr>
            <w:t>MISES: Interdisciplinary Journal of Philosophy, Law and Economics</w:t>
          </w:r>
          <w:r w:rsidRPr="00071C3F">
            <w:rPr>
              <w:lang w:val="en-US"/>
            </w:rPr>
            <w:t xml:space="preserve">, v. 10, p. 1–18, 20 </w:t>
          </w:r>
          <w:proofErr w:type="spellStart"/>
          <w:r w:rsidRPr="00071C3F">
            <w:rPr>
              <w:lang w:val="en-US"/>
            </w:rPr>
            <w:t>jan.</w:t>
          </w:r>
          <w:proofErr w:type="spellEnd"/>
          <w:r w:rsidRPr="00071C3F">
            <w:rPr>
              <w:lang w:val="en-US"/>
            </w:rPr>
            <w:t xml:space="preserve"> 2022. </w:t>
          </w:r>
        </w:p>
        <w:p w14:paraId="1B83B5A5" w14:textId="77777777" w:rsidR="00071C3F" w:rsidRPr="00071C3F" w:rsidRDefault="00071C3F" w:rsidP="00071C3F">
          <w:pPr>
            <w:spacing w:after="0" w:line="240" w:lineRule="auto"/>
          </w:pPr>
          <w:r w:rsidRPr="00071C3F">
            <w:lastRenderedPageBreak/>
            <w:t xml:space="preserve">BCB. </w:t>
          </w:r>
          <w:r w:rsidRPr="00071C3F">
            <w:rPr>
              <w:b/>
              <w:bCs/>
            </w:rPr>
            <w:t>Anexo I à Resolução n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4.469, de 25 de fevereiro de 2016 - Estatuto do FGC</w:t>
          </w:r>
          <w:r w:rsidRPr="00071C3F">
            <w:t xml:space="preserve">. Brasil, 2016. </w:t>
          </w:r>
        </w:p>
        <w:p w14:paraId="26DC34B7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BC promove série de webinars “O Real Digital” a partir de julho</w:t>
          </w:r>
          <w:r w:rsidRPr="00071C3F">
            <w:t>. Disponível em: &lt;https://www.bcb.gov.br/</w:t>
          </w:r>
          <w:proofErr w:type="spellStart"/>
          <w:r w:rsidRPr="00071C3F">
            <w:t>detalhenoticia</w:t>
          </w:r>
          <w:proofErr w:type="spellEnd"/>
          <w:r w:rsidRPr="00071C3F">
            <w:t xml:space="preserve">/17438/nota&gt;. Acesso em: 18 jun. 2023a. </w:t>
          </w:r>
        </w:p>
        <w:p w14:paraId="68DF05AD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1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Webinar - O Real Digital - Potenciais do Real em formato digital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/eventos/116&gt;. Acesso em: 18 jun. 2023b. </w:t>
          </w:r>
        </w:p>
        <w:p w14:paraId="4EE9BCB3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2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Webinar - O Real Digital - Cidadania, segurança de dados, sigilo e rastreabilidade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/eventos/117&gt;. Acesso em: 18 jun. 2023c. </w:t>
          </w:r>
        </w:p>
        <w:p w14:paraId="77F90CB8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3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Webinar - O Real Digital - Operações Offline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/eventos/118&gt;. Acesso em: 18 jun. 2023d. </w:t>
          </w:r>
        </w:p>
        <w:p w14:paraId="2869EC0D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4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Webinar - O Real Digital - </w:t>
          </w:r>
          <w:proofErr w:type="spellStart"/>
          <w:r w:rsidRPr="00071C3F">
            <w:rPr>
              <w:b/>
              <w:bCs/>
            </w:rPr>
            <w:t>Smart</w:t>
          </w:r>
          <w:proofErr w:type="spellEnd"/>
          <w:r w:rsidRPr="00071C3F">
            <w:rPr>
              <w:b/>
              <w:bCs/>
            </w:rPr>
            <w:t xml:space="preserve"> </w:t>
          </w:r>
          <w:proofErr w:type="spellStart"/>
          <w:r w:rsidRPr="00071C3F">
            <w:rPr>
              <w:b/>
              <w:bCs/>
            </w:rPr>
            <w:t>contracts</w:t>
          </w:r>
          <w:proofErr w:type="spellEnd"/>
          <w:r w:rsidRPr="00071C3F">
            <w:rPr>
              <w:b/>
              <w:bCs/>
            </w:rPr>
            <w:t>, IoT e dinheiro programável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/eventos/119&gt;. Acesso em: 18 jun. 2023e. </w:t>
          </w:r>
        </w:p>
        <w:p w14:paraId="02917649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5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Webinar - O Real Digital - Emissão e Movimentação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/eventos/124&gt;. Acesso em: 18 jun. 2023f. </w:t>
          </w:r>
        </w:p>
        <w:p w14:paraId="21736D8B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6</w:t>
          </w:r>
          <w:r w:rsidRPr="00071C3F">
            <w:rPr>
              <w:b/>
              <w:bCs/>
              <w:vertAlign w:val="superscript"/>
            </w:rPr>
            <w:t>o</w:t>
          </w:r>
          <w:r w:rsidRPr="00071C3F">
            <w:rPr>
              <w:b/>
              <w:bCs/>
            </w:rPr>
            <w:t xml:space="preserve"> Webinar - O Real Digital - Integração internacional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/eventos/125&gt;. Acesso em: 18 jun. 2023g. </w:t>
          </w:r>
        </w:p>
        <w:p w14:paraId="643E289D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7° Webinar - O Real Digital – Tecnologias para emissão e compatibilidade com arranjos existentes</w:t>
          </w:r>
          <w:r w:rsidRPr="00071C3F">
            <w:t>. Disponível em: &lt;https://www.bcb.gov.br/</w:t>
          </w:r>
          <w:proofErr w:type="spellStart"/>
          <w:r w:rsidRPr="00071C3F">
            <w:t>acessoinformacao</w:t>
          </w:r>
          <w:proofErr w:type="spellEnd"/>
          <w:r w:rsidRPr="00071C3F">
            <w:t xml:space="preserve">/eventos/127&gt;. Acesso em: 18 jun. 2023h. </w:t>
          </w:r>
        </w:p>
        <w:p w14:paraId="3FA90BF1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 xml:space="preserve">Apontamentos do Presidente do Banco Central Roberto Campos Neto no Evento de encerramento da série de webinars e lançamento do </w:t>
          </w:r>
          <w:proofErr w:type="spellStart"/>
          <w:r w:rsidRPr="00071C3F">
            <w:rPr>
              <w:b/>
              <w:bCs/>
            </w:rPr>
            <w:t>Lift</w:t>
          </w:r>
          <w:proofErr w:type="spellEnd"/>
          <w:r w:rsidRPr="00071C3F">
            <w:rPr>
              <w:b/>
              <w:bCs/>
            </w:rPr>
            <w:t xml:space="preserve"> </w:t>
          </w:r>
          <w:proofErr w:type="spellStart"/>
          <w:r w:rsidRPr="00071C3F">
            <w:rPr>
              <w:b/>
              <w:bCs/>
            </w:rPr>
            <w:t>Challenge</w:t>
          </w:r>
          <w:proofErr w:type="spellEnd"/>
          <w:r w:rsidRPr="00071C3F">
            <w:rPr>
              <w:b/>
              <w:bCs/>
            </w:rPr>
            <w:t>-Real Digital</w:t>
          </w:r>
          <w:r w:rsidRPr="00071C3F">
            <w:t xml:space="preserve">. Brasília: [s.n.]. </w:t>
          </w:r>
        </w:p>
        <w:p w14:paraId="533BEE86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Piloto Real Digital</w:t>
          </w:r>
          <w:r w:rsidRPr="00071C3F">
            <w:t xml:space="preserve">. Disponível em: &lt;https://www.bcb.gov.br/estabilidadefinanceira/real-digital-piloto&gt;. Acesso em: 18 jun. 2023a. </w:t>
          </w:r>
        </w:p>
        <w:p w14:paraId="3D3A5994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Voto 31/2023–BCB</w:t>
          </w:r>
          <w:proofErr w:type="gramStart"/>
          <w:r w:rsidRPr="00071C3F">
            <w:t>. ,</w:t>
          </w:r>
          <w:proofErr w:type="gramEnd"/>
          <w:r w:rsidRPr="00071C3F">
            <w:t xml:space="preserve"> 14 fev. 2023b. </w:t>
          </w:r>
        </w:p>
        <w:p w14:paraId="028B66E0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BCB. </w:t>
          </w:r>
          <w:r w:rsidRPr="00071C3F">
            <w:rPr>
              <w:b/>
              <w:bCs/>
            </w:rPr>
            <w:t>Voto 73/2023-BCB</w:t>
          </w:r>
          <w:proofErr w:type="gramStart"/>
          <w:r w:rsidRPr="00071C3F">
            <w:t>. ,</w:t>
          </w:r>
          <w:proofErr w:type="gramEnd"/>
          <w:r w:rsidRPr="00071C3F">
            <w:t xml:space="preserve"> 26 abr. 2023c. </w:t>
          </w:r>
        </w:p>
        <w:p w14:paraId="38F64643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t xml:space="preserve">BCB. </w:t>
          </w:r>
          <w:r w:rsidRPr="00071C3F">
            <w:rPr>
              <w:b/>
              <w:bCs/>
            </w:rPr>
            <w:t>Resolução BCB n° 315 - Institui o Comitê Executivo de Gestão (CEG) do Projeto-Piloto da Plataforma do Real Digital (Piloto RD) e aprova o Regulamento do Piloto RD</w:t>
          </w:r>
          <w:r w:rsidRPr="00071C3F">
            <w:t xml:space="preserve">. </w:t>
          </w:r>
          <w:r w:rsidRPr="00071C3F">
            <w:rPr>
              <w:lang w:val="en-US"/>
            </w:rPr>
            <w:t>[</w:t>
          </w:r>
          <w:proofErr w:type="spellStart"/>
          <w:r w:rsidRPr="00071C3F">
            <w:rPr>
              <w:lang w:val="en-US"/>
            </w:rPr>
            <w:t>s.l</w:t>
          </w:r>
          <w:proofErr w:type="spellEnd"/>
          <w:r w:rsidRPr="00071C3F">
            <w:rPr>
              <w:lang w:val="en-US"/>
            </w:rPr>
            <w:t xml:space="preserve">: </w:t>
          </w:r>
          <w:proofErr w:type="spellStart"/>
          <w:r w:rsidRPr="00071C3F">
            <w:rPr>
              <w:lang w:val="en-US"/>
            </w:rPr>
            <w:t>s.n</w:t>
          </w:r>
          <w:proofErr w:type="spellEnd"/>
          <w:r w:rsidRPr="00071C3F">
            <w:rPr>
              <w:lang w:val="en-US"/>
            </w:rPr>
            <w:t xml:space="preserve">.]. </w:t>
          </w:r>
        </w:p>
        <w:p w14:paraId="5AF25C98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COINGECKO. </w:t>
          </w:r>
          <w:r w:rsidRPr="00071C3F">
            <w:rPr>
              <w:b/>
              <w:bCs/>
              <w:lang w:val="en-US"/>
            </w:rPr>
            <w:t>Global Cryptocurrency Market Cap Charts</w:t>
          </w:r>
          <w:r w:rsidRPr="00071C3F">
            <w:rPr>
              <w:lang w:val="en-US"/>
            </w:rPr>
            <w:t xml:space="preserve">. </w:t>
          </w:r>
          <w:r w:rsidRPr="00071C3F">
            <w:t>Disponível em: &lt;https://www.coingecko.com/</w:t>
          </w:r>
          <w:proofErr w:type="spellStart"/>
          <w:r w:rsidRPr="00071C3F">
            <w:t>en</w:t>
          </w:r>
          <w:proofErr w:type="spellEnd"/>
          <w:r w:rsidRPr="00071C3F">
            <w:t>/global-</w:t>
          </w:r>
          <w:proofErr w:type="spellStart"/>
          <w:r w:rsidRPr="00071C3F">
            <w:t>charts</w:t>
          </w:r>
          <w:proofErr w:type="spellEnd"/>
          <w:r w:rsidRPr="00071C3F">
            <w:t xml:space="preserve">&gt;. </w:t>
          </w:r>
          <w:proofErr w:type="spellStart"/>
          <w:r w:rsidRPr="00071C3F">
            <w:rPr>
              <w:lang w:val="en-US"/>
            </w:rPr>
            <w:t>Acesso</w:t>
          </w:r>
          <w:proofErr w:type="spellEnd"/>
          <w:r w:rsidRPr="00071C3F">
            <w:rPr>
              <w:lang w:val="en-US"/>
            </w:rPr>
            <w:t xml:space="preserve"> </w:t>
          </w:r>
          <w:proofErr w:type="spellStart"/>
          <w:r w:rsidRPr="00071C3F">
            <w:rPr>
              <w:lang w:val="en-US"/>
            </w:rPr>
            <w:t>em</w:t>
          </w:r>
          <w:proofErr w:type="spellEnd"/>
          <w:r w:rsidRPr="00071C3F">
            <w:rPr>
              <w:lang w:val="en-US"/>
            </w:rPr>
            <w:t xml:space="preserve">: 11 jun. 2023. </w:t>
          </w:r>
        </w:p>
        <w:p w14:paraId="1ED72569" w14:textId="77777777" w:rsidR="00071C3F" w:rsidRPr="00071C3F" w:rsidRDefault="00071C3F" w:rsidP="00071C3F">
          <w:pPr>
            <w:spacing w:after="0" w:line="240" w:lineRule="auto"/>
          </w:pPr>
          <w:r w:rsidRPr="00071C3F">
            <w:rPr>
              <w:lang w:val="en-US"/>
            </w:rPr>
            <w:t xml:space="preserve">DECRYPT. </w:t>
          </w:r>
          <w:r w:rsidRPr="00071C3F">
            <w:rPr>
              <w:b/>
              <w:bCs/>
              <w:lang w:val="en-US"/>
            </w:rPr>
            <w:t>SEC Claims All of Ethereum Falls Under US Jurisdiction</w:t>
          </w:r>
          <w:r w:rsidRPr="00071C3F">
            <w:rPr>
              <w:lang w:val="en-US"/>
            </w:rPr>
            <w:t xml:space="preserve">. </w:t>
          </w:r>
          <w:r w:rsidRPr="00071C3F">
            <w:t>Disponível em: &lt;https://decrypt.co/110107/</w:t>
          </w:r>
          <w:proofErr w:type="spellStart"/>
          <w:r w:rsidRPr="00071C3F">
            <w:t>sec-ethereum-us-jurisdiction</w:t>
          </w:r>
          <w:proofErr w:type="spellEnd"/>
          <w:r w:rsidRPr="00071C3F">
            <w:t xml:space="preserve">&gt;. Acesso em: 18 jun. 2023. </w:t>
          </w:r>
        </w:p>
        <w:p w14:paraId="3EC30017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lastRenderedPageBreak/>
            <w:t xml:space="preserve">HICKS, J. </w:t>
          </w:r>
          <w:r w:rsidRPr="00071C3F">
            <w:rPr>
              <w:b/>
              <w:bCs/>
              <w:lang w:val="en-US"/>
            </w:rPr>
            <w:t>A Market Theory of Money</w:t>
          </w:r>
          <w:r w:rsidRPr="00071C3F">
            <w:rPr>
              <w:lang w:val="en-US"/>
            </w:rPr>
            <w:t>. [</w:t>
          </w:r>
          <w:proofErr w:type="spellStart"/>
          <w:r w:rsidRPr="00071C3F">
            <w:rPr>
              <w:lang w:val="en-US"/>
            </w:rPr>
            <w:t>s.l.</w:t>
          </w:r>
          <w:proofErr w:type="spellEnd"/>
          <w:r w:rsidRPr="00071C3F">
            <w:rPr>
              <w:lang w:val="en-US"/>
            </w:rPr>
            <w:t>] Clarendon Press, 1989. v. Business &amp; Economics</w:t>
          </w:r>
        </w:p>
        <w:p w14:paraId="59E74F1E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HUME, D. </w:t>
          </w:r>
          <w:r w:rsidRPr="00071C3F">
            <w:rPr>
              <w:b/>
              <w:bCs/>
              <w:lang w:val="en-US"/>
            </w:rPr>
            <w:t>A Treatise of Human Nature</w:t>
          </w:r>
          <w:r w:rsidRPr="00071C3F">
            <w:rPr>
              <w:lang w:val="en-US"/>
            </w:rPr>
            <w:t xml:space="preserve">. Segunda </w:t>
          </w:r>
          <w:proofErr w:type="spellStart"/>
          <w:r w:rsidRPr="00071C3F">
            <w:rPr>
              <w:lang w:val="en-US"/>
            </w:rPr>
            <w:t>edição</w:t>
          </w:r>
          <w:proofErr w:type="spellEnd"/>
          <w:r w:rsidRPr="00071C3F">
            <w:rPr>
              <w:lang w:val="en-US"/>
            </w:rPr>
            <w:t xml:space="preserve"> ed. Oxford: Clarendon Press, 1740. </w:t>
          </w:r>
        </w:p>
        <w:p w14:paraId="19D306CB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KING, M. </w:t>
          </w:r>
          <w:r w:rsidRPr="00071C3F">
            <w:rPr>
              <w:b/>
              <w:bCs/>
              <w:lang w:val="en-US"/>
            </w:rPr>
            <w:t>The End of Alchemy: Money, Banking, and Future of the Global Economy</w:t>
          </w:r>
          <w:r w:rsidRPr="00071C3F">
            <w:rPr>
              <w:lang w:val="en-US"/>
            </w:rPr>
            <w:t>. [</w:t>
          </w:r>
          <w:proofErr w:type="spellStart"/>
          <w:r w:rsidRPr="00071C3F">
            <w:rPr>
              <w:lang w:val="en-US"/>
            </w:rPr>
            <w:t>s.l.</w:t>
          </w:r>
          <w:proofErr w:type="spellEnd"/>
          <w:r w:rsidRPr="00071C3F">
            <w:rPr>
              <w:lang w:val="en-US"/>
            </w:rPr>
            <w:t xml:space="preserve">] W. W. Norton &amp; Company, 2017. </w:t>
          </w:r>
        </w:p>
        <w:p w14:paraId="4FB86BDE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KIYOTAKI, N.; WRIGHT, R. On Money as a Medium of Exchange. </w:t>
          </w:r>
          <w:r w:rsidRPr="00071C3F">
            <w:rPr>
              <w:b/>
              <w:bCs/>
              <w:lang w:val="en-US"/>
            </w:rPr>
            <w:t>https://doi.org/10.1086/261634</w:t>
          </w:r>
          <w:r w:rsidRPr="00071C3F">
            <w:rPr>
              <w:lang w:val="en-US"/>
            </w:rPr>
            <w:t xml:space="preserve">, v. 97, n. 4, p. 927–954, 1 ago. 1989. </w:t>
          </w:r>
        </w:p>
        <w:p w14:paraId="710F007B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KIYOTAKI, N.; WRIGHT, R. A contribution to the pure theory of money. </w:t>
          </w:r>
          <w:r w:rsidRPr="00071C3F">
            <w:rPr>
              <w:b/>
              <w:bCs/>
              <w:lang w:val="en-US"/>
            </w:rPr>
            <w:t>Journal of Economic Theory</w:t>
          </w:r>
          <w:r w:rsidRPr="00071C3F">
            <w:rPr>
              <w:lang w:val="en-US"/>
            </w:rPr>
            <w:t xml:space="preserve">, v. 53, n. 2, p. 215–235, 1 abr. 1991. </w:t>
          </w:r>
        </w:p>
        <w:p w14:paraId="679270E8" w14:textId="77777777" w:rsidR="00071C3F" w:rsidRPr="00071C3F" w:rsidRDefault="00071C3F" w:rsidP="00071C3F">
          <w:pPr>
            <w:spacing w:after="0" w:line="240" w:lineRule="auto"/>
          </w:pPr>
          <w:r w:rsidRPr="00071C3F">
            <w:rPr>
              <w:lang w:val="en-US"/>
            </w:rPr>
            <w:t xml:space="preserve">KNAPP, G. F. </w:t>
          </w:r>
          <w:r w:rsidRPr="00071C3F">
            <w:rPr>
              <w:b/>
              <w:bCs/>
              <w:lang w:val="en-US"/>
            </w:rPr>
            <w:t>The State Theory of Money</w:t>
          </w:r>
          <w:r w:rsidRPr="00071C3F">
            <w:rPr>
              <w:lang w:val="en-US"/>
            </w:rPr>
            <w:t xml:space="preserve">. Abridged Edition ed. London: Macmillan and Co. </w:t>
          </w:r>
          <w:proofErr w:type="spellStart"/>
          <w:r w:rsidRPr="00071C3F">
            <w:t>Limited</w:t>
          </w:r>
          <w:proofErr w:type="spellEnd"/>
          <w:r w:rsidRPr="00071C3F">
            <w:t xml:space="preserve">, 1924. </w:t>
          </w:r>
        </w:p>
        <w:p w14:paraId="780268CB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LOPES, J. DO C.; ROSSETTI, J. P. </w:t>
          </w:r>
          <w:r w:rsidRPr="00071C3F">
            <w:rPr>
              <w:b/>
              <w:bCs/>
            </w:rPr>
            <w:t>Economia Monetária</w:t>
          </w:r>
          <w:r w:rsidRPr="00071C3F">
            <w:t>. 8</w:t>
          </w:r>
          <w:r w:rsidRPr="00071C3F">
            <w:rPr>
              <w:vertAlign w:val="superscript"/>
            </w:rPr>
            <w:t>a</w:t>
          </w:r>
          <w:r w:rsidRPr="00071C3F">
            <w:t xml:space="preserve"> edição ed. São Paulo: Editora Atlas S.A., 2002. </w:t>
          </w:r>
        </w:p>
        <w:p w14:paraId="0F7B1EE6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MENGER, K. On the Origin of Money. </w:t>
          </w:r>
          <w:r w:rsidRPr="00071C3F">
            <w:rPr>
              <w:b/>
              <w:bCs/>
              <w:lang w:val="en-US"/>
            </w:rPr>
            <w:t>Source: The Economic Journal</w:t>
          </w:r>
          <w:r w:rsidRPr="00071C3F">
            <w:rPr>
              <w:lang w:val="en-US"/>
            </w:rPr>
            <w:t xml:space="preserve">, v. 2, n. 6, p. 239–255, 1892. </w:t>
          </w:r>
        </w:p>
        <w:p w14:paraId="015D0772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rPr>
              <w:lang w:val="en-US"/>
            </w:rPr>
            <w:t xml:space="preserve">MISES, L. VON. </w:t>
          </w:r>
          <w:r w:rsidRPr="00071C3F">
            <w:rPr>
              <w:b/>
              <w:bCs/>
              <w:lang w:val="en-US"/>
            </w:rPr>
            <w:t>The Theory of Money and Credit</w:t>
          </w:r>
          <w:r w:rsidRPr="00071C3F">
            <w:rPr>
              <w:lang w:val="en-US"/>
            </w:rPr>
            <w:t>. [</w:t>
          </w:r>
          <w:proofErr w:type="spellStart"/>
          <w:r w:rsidRPr="00071C3F">
            <w:rPr>
              <w:lang w:val="en-US"/>
            </w:rPr>
            <w:t>s.l.</w:t>
          </w:r>
          <w:proofErr w:type="spellEnd"/>
          <w:r w:rsidRPr="00071C3F">
            <w:rPr>
              <w:lang w:val="en-US"/>
            </w:rPr>
            <w:t xml:space="preserve">] Yale University Press, 1953. </w:t>
          </w:r>
        </w:p>
        <w:p w14:paraId="68F34221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NEVES, R. C.; MOTTA, G. DA S. A. Perspectivas do Estágio Atual das Discussões para a Implementação da Central Bank Digital Currency no Brasil em Comparação com a Suécia e com os Estados Unidos da América. </w:t>
          </w:r>
          <w:r w:rsidRPr="00071C3F">
            <w:rPr>
              <w:b/>
              <w:bCs/>
            </w:rPr>
            <w:t>Revista da PGBC</w:t>
          </w:r>
          <w:r w:rsidRPr="00071C3F">
            <w:t xml:space="preserve">, v. V.16, n. N.2, p. 73–94, dez. 2022. </w:t>
          </w:r>
        </w:p>
        <w:p w14:paraId="573CE226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t xml:space="preserve">NEVES, R. C.; SILVA, L. B. R. DA; COSTA, D. R. </w:t>
          </w:r>
          <w:r w:rsidRPr="00071C3F">
            <w:rPr>
              <w:b/>
              <w:bCs/>
            </w:rPr>
            <w:t>Regulação das contas de depósito e inovações da Agenda BC#</w:t>
          </w:r>
          <w:r w:rsidRPr="00071C3F">
            <w:t>. 1</w:t>
          </w:r>
          <w:r w:rsidRPr="00071C3F">
            <w:rPr>
              <w:vertAlign w:val="superscript"/>
            </w:rPr>
            <w:t>a</w:t>
          </w:r>
          <w:r w:rsidRPr="00071C3F">
            <w:t xml:space="preserve"> edição ed. </w:t>
          </w:r>
          <w:r w:rsidRPr="00071C3F">
            <w:rPr>
              <w:lang w:val="en-US"/>
            </w:rPr>
            <w:t xml:space="preserve">São Paulo: Instituto </w:t>
          </w:r>
          <w:proofErr w:type="spellStart"/>
          <w:r w:rsidRPr="00071C3F">
            <w:rPr>
              <w:lang w:val="en-US"/>
            </w:rPr>
            <w:t>Propague</w:t>
          </w:r>
          <w:proofErr w:type="spellEnd"/>
          <w:r w:rsidRPr="00071C3F">
            <w:rPr>
              <w:lang w:val="en-US"/>
            </w:rPr>
            <w:t xml:space="preserve">, 2022. </w:t>
          </w:r>
        </w:p>
        <w:p w14:paraId="55BCC244" w14:textId="77777777" w:rsidR="00071C3F" w:rsidRPr="00071C3F" w:rsidRDefault="00071C3F" w:rsidP="00071C3F">
          <w:pPr>
            <w:spacing w:after="0" w:line="240" w:lineRule="auto"/>
          </w:pPr>
          <w:r w:rsidRPr="00071C3F">
            <w:rPr>
              <w:lang w:val="en-US"/>
            </w:rPr>
            <w:t xml:space="preserve">PRATES, M. M. et al. Money in the twenty-first century: from rusty coins to digital currencies. </w:t>
          </w:r>
          <w:r w:rsidRPr="00071C3F">
            <w:rPr>
              <w:b/>
              <w:bCs/>
            </w:rPr>
            <w:t xml:space="preserve">Ohio </w:t>
          </w:r>
          <w:proofErr w:type="spellStart"/>
          <w:r w:rsidRPr="00071C3F">
            <w:rPr>
              <w:b/>
              <w:bCs/>
            </w:rPr>
            <w:t>State</w:t>
          </w:r>
          <w:proofErr w:type="spellEnd"/>
          <w:r w:rsidRPr="00071C3F">
            <w:rPr>
              <w:b/>
              <w:bCs/>
            </w:rPr>
            <w:t xml:space="preserve"> Business Law </w:t>
          </w:r>
          <w:proofErr w:type="spellStart"/>
          <w:r w:rsidRPr="00071C3F">
            <w:rPr>
              <w:b/>
              <w:bCs/>
            </w:rPr>
            <w:t>Journal</w:t>
          </w:r>
          <w:proofErr w:type="spellEnd"/>
          <w:r w:rsidRPr="00071C3F">
            <w:t xml:space="preserve">, p. 165–233, 2021. </w:t>
          </w:r>
        </w:p>
        <w:p w14:paraId="45758B36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RAGAZZO, C.; CATALDO, B. </w:t>
          </w:r>
          <w:r w:rsidRPr="00071C3F">
            <w:rPr>
              <w:b/>
              <w:bCs/>
            </w:rPr>
            <w:t>Moedas digitais: entenda o que são criptomoedas, stablecoins e CBDCs</w:t>
          </w:r>
          <w:r w:rsidRPr="00071C3F">
            <w:t>. [</w:t>
          </w:r>
          <w:proofErr w:type="spellStart"/>
          <w:r w:rsidRPr="00071C3F">
            <w:t>s.l</w:t>
          </w:r>
          <w:proofErr w:type="spellEnd"/>
          <w:r w:rsidRPr="00071C3F">
            <w:t>: s.n.]. Disponível em: &lt;https://www.coinbase.com/&gt;.</w:t>
          </w:r>
        </w:p>
        <w:p w14:paraId="496A6EA8" w14:textId="77777777" w:rsidR="00071C3F" w:rsidRPr="00071C3F" w:rsidRDefault="00071C3F" w:rsidP="00071C3F">
          <w:pPr>
            <w:spacing w:after="0" w:line="240" w:lineRule="auto"/>
            <w:rPr>
              <w:lang w:val="en-US"/>
            </w:rPr>
          </w:pPr>
          <w:r w:rsidRPr="00071C3F">
            <w:t xml:space="preserve">SALAMA, B. M.; ZELMANOVITZ, L. Crítica à Proposta de Criação de Real Digital de “Varejo”. </w:t>
          </w:r>
          <w:r w:rsidRPr="00071C3F">
            <w:rPr>
              <w:b/>
              <w:bCs/>
              <w:lang w:val="en-US"/>
            </w:rPr>
            <w:t>Be Press</w:t>
          </w:r>
          <w:r w:rsidRPr="00071C3F">
            <w:rPr>
              <w:lang w:val="en-US"/>
            </w:rPr>
            <w:t xml:space="preserve">, 13 mar. 2023. </w:t>
          </w:r>
        </w:p>
        <w:p w14:paraId="13240D48" w14:textId="77777777" w:rsidR="00071C3F" w:rsidRPr="00071C3F" w:rsidRDefault="00071C3F" w:rsidP="00071C3F">
          <w:pPr>
            <w:spacing w:after="0" w:line="240" w:lineRule="auto"/>
          </w:pPr>
          <w:r w:rsidRPr="00071C3F">
            <w:rPr>
              <w:lang w:val="en-US"/>
            </w:rPr>
            <w:t xml:space="preserve">SHIN, H. S. </w:t>
          </w:r>
          <w:r w:rsidRPr="00071C3F">
            <w:rPr>
              <w:b/>
              <w:bCs/>
              <w:lang w:val="en-US"/>
            </w:rPr>
            <w:t>The Future of Monetary System</w:t>
          </w:r>
          <w:r w:rsidRPr="00071C3F">
            <w:rPr>
              <w:lang w:val="en-US"/>
            </w:rPr>
            <w:t xml:space="preserve">. Bank of International </w:t>
          </w:r>
          <w:proofErr w:type="spellStart"/>
          <w:r w:rsidRPr="00071C3F">
            <w:rPr>
              <w:lang w:val="en-US"/>
            </w:rPr>
            <w:t>Settements</w:t>
          </w:r>
          <w:proofErr w:type="spellEnd"/>
          <w:proofErr w:type="gramStart"/>
          <w:r w:rsidRPr="00071C3F">
            <w:rPr>
              <w:lang w:val="en-US"/>
            </w:rPr>
            <w:t>, ,</w:t>
          </w:r>
          <w:proofErr w:type="gramEnd"/>
          <w:r w:rsidRPr="00071C3F">
            <w:rPr>
              <w:lang w:val="en-US"/>
            </w:rPr>
            <w:t xml:space="preserve"> 29 jun. 2022. </w:t>
          </w:r>
          <w:r w:rsidRPr="00071C3F">
            <w:t>Disponível em: &lt;https://www.youtube.com/watch?v=oDJfu4WsTrM&amp;ab_channel=BankforInternationalSettlements&gt;. Acesso em: 18 jun. 2023</w:t>
          </w:r>
        </w:p>
        <w:p w14:paraId="691E4C5C" w14:textId="77777777" w:rsidR="00071C3F" w:rsidRPr="00071C3F" w:rsidRDefault="00071C3F" w:rsidP="00071C3F">
          <w:pPr>
            <w:spacing w:after="0" w:line="240" w:lineRule="auto"/>
          </w:pPr>
          <w:r w:rsidRPr="00071C3F">
            <w:t xml:space="preserve">SICSÚ, J. et al. </w:t>
          </w:r>
          <w:r w:rsidRPr="00071C3F">
            <w:rPr>
              <w:b/>
              <w:bCs/>
            </w:rPr>
            <w:t>Economia Monetária e Financeira: teoria e política</w:t>
          </w:r>
          <w:r w:rsidRPr="00071C3F">
            <w:t>. 2</w:t>
          </w:r>
          <w:r w:rsidRPr="00071C3F">
            <w:rPr>
              <w:vertAlign w:val="superscript"/>
            </w:rPr>
            <w:t>a</w:t>
          </w:r>
          <w:r w:rsidRPr="00071C3F">
            <w:t xml:space="preserve"> edição ed. Rio de Janeiro: Elsevier, 2012. </w:t>
          </w:r>
        </w:p>
        <w:p w14:paraId="167E30D4" w14:textId="1F142B43" w:rsidR="00CB4F47" w:rsidRDefault="00071C3F" w:rsidP="00071C3F">
          <w:pPr>
            <w:spacing w:after="0" w:line="240" w:lineRule="auto"/>
          </w:pPr>
          <w:r w:rsidRPr="00071C3F">
            <w:t> </w:t>
          </w:r>
        </w:p>
      </w:sdtContent>
    </w:sdt>
    <w:sectPr w:rsidR="00CB4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7E78"/>
    <w:multiLevelType w:val="hybridMultilevel"/>
    <w:tmpl w:val="269A6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2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99"/>
    <w:rsid w:val="00071C3F"/>
    <w:rsid w:val="0014482D"/>
    <w:rsid w:val="00176E99"/>
    <w:rsid w:val="001B04C7"/>
    <w:rsid w:val="0031577F"/>
    <w:rsid w:val="00422835"/>
    <w:rsid w:val="005122DB"/>
    <w:rsid w:val="005B6ED7"/>
    <w:rsid w:val="0062742A"/>
    <w:rsid w:val="00660A19"/>
    <w:rsid w:val="00702C46"/>
    <w:rsid w:val="00771177"/>
    <w:rsid w:val="00884E5E"/>
    <w:rsid w:val="009736B7"/>
    <w:rsid w:val="00B32D4B"/>
    <w:rsid w:val="00CB4F47"/>
    <w:rsid w:val="00D1525C"/>
    <w:rsid w:val="00D90EC1"/>
    <w:rsid w:val="00DC56CF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7F80"/>
  <w15:chartTrackingRefBased/>
  <w15:docId w15:val="{4DBE517C-C724-479F-BCA8-B9A13FED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99"/>
    <w:pPr>
      <w:spacing w:before="240" w:after="24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rsid w:val="00176E99"/>
    <w:pPr>
      <w:shd w:val="clear" w:color="000000" w:fill="FFFFFF"/>
      <w:jc w:val="left"/>
    </w:pPr>
    <w:rPr>
      <w:b/>
      <w:bCs/>
      <w:sz w:val="32"/>
      <w:szCs w:val="32"/>
    </w:rPr>
  </w:style>
  <w:style w:type="character" w:customStyle="1" w:styleId="Corpodetexto3Char">
    <w:name w:val="Corpo de texto 3 Char"/>
    <w:link w:val="Corpodetexto3"/>
    <w:uiPriority w:val="99"/>
    <w:rsid w:val="00176E99"/>
    <w:rPr>
      <w:rFonts w:ascii="Times New Roman" w:eastAsia="Times New Roman" w:hAnsi="Times New Roman" w:cs="Times New Roman"/>
      <w:b/>
      <w:bCs/>
      <w:kern w:val="0"/>
      <w:sz w:val="32"/>
      <w:szCs w:val="32"/>
      <w:shd w:val="clear" w:color="000000" w:fill="FFFFFF"/>
      <w:lang w:eastAsia="pt-BR"/>
    </w:rPr>
  </w:style>
  <w:style w:type="paragraph" w:styleId="PargrafodaLista">
    <w:name w:val="List Paragraph"/>
    <w:basedOn w:val="Normal"/>
    <w:uiPriority w:val="34"/>
    <w:qFormat/>
    <w:rsid w:val="00176E99"/>
    <w:pPr>
      <w:ind w:left="720"/>
      <w:contextualSpacing/>
    </w:pPr>
  </w:style>
  <w:style w:type="character" w:styleId="Hyperlink">
    <w:name w:val="Hyperlink"/>
    <w:uiPriority w:val="99"/>
    <w:unhideWhenUsed/>
    <w:rsid w:val="0042283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42283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B0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B04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B04C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04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04C7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1B04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C87051C8E74F0C9E37CA921E85F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7B5F9-96C3-4A5F-9177-4FBF8B27CF36}"/>
      </w:docPartPr>
      <w:docPartBody>
        <w:p w:rsidR="002E20DD" w:rsidRDefault="00764469" w:rsidP="00764469">
          <w:pPr>
            <w:pStyle w:val="D3C87051C8E74F0C9E37CA921E85FCC7"/>
          </w:pPr>
          <w:r w:rsidRPr="000869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69"/>
    <w:rsid w:val="002E20DD"/>
    <w:rsid w:val="00764469"/>
    <w:rsid w:val="00AB320F"/>
    <w:rsid w:val="00DB5068"/>
    <w:rsid w:val="00F0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4469"/>
    <w:rPr>
      <w:color w:val="808080"/>
    </w:rPr>
  </w:style>
  <w:style w:type="paragraph" w:customStyle="1" w:styleId="D3C87051C8E74F0C9E37CA921E85FCC7">
    <w:name w:val="D3C87051C8E74F0C9E37CA921E85FCC7"/>
    <w:rsid w:val="00764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3212</Words>
  <Characters>17351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Carneiro Neves Carneiro Neves</dc:creator>
  <cp:keywords/>
  <dc:description/>
  <cp:lastModifiedBy>Rubia Carneiro Neves</cp:lastModifiedBy>
  <cp:revision>2</cp:revision>
  <dcterms:created xsi:type="dcterms:W3CDTF">2024-07-24T01:12:00Z</dcterms:created>
  <dcterms:modified xsi:type="dcterms:W3CDTF">2024-07-24T01:12:00Z</dcterms:modified>
</cp:coreProperties>
</file>